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551C5" w14:textId="79D2F8F0" w:rsidR="0002792E" w:rsidRPr="000018F2" w:rsidRDefault="00E65797" w:rsidP="005614CB">
      <w:pPr>
        <w:spacing w:after="120" w:line="276" w:lineRule="auto"/>
        <w:jc w:val="center"/>
        <w:rPr>
          <w:rFonts w:ascii="Times New Roman" w:hAnsi="Times New Roman" w:cs="Times New Roman"/>
          <w:b/>
          <w:bCs/>
          <w:sz w:val="28"/>
          <w:szCs w:val="28"/>
          <w:lang w:val="vi-VN"/>
        </w:rPr>
      </w:pPr>
      <w:r w:rsidRPr="000018F2">
        <w:rPr>
          <w:rFonts w:ascii="Times New Roman" w:hAnsi="Times New Roman" w:cs="Times New Roman"/>
          <w:b/>
          <w:bCs/>
          <w:sz w:val="28"/>
          <w:szCs w:val="28"/>
          <w:lang w:val="vi-VN"/>
        </w:rPr>
        <w:t>Phụ lục</w:t>
      </w:r>
    </w:p>
    <w:p w14:paraId="307A3F02" w14:textId="07CA6BF1" w:rsidR="00E65797" w:rsidRPr="000018F2" w:rsidRDefault="00E65797" w:rsidP="005614CB">
      <w:pPr>
        <w:spacing w:after="120" w:line="276" w:lineRule="auto"/>
        <w:jc w:val="center"/>
        <w:rPr>
          <w:rFonts w:ascii="Times New Roman" w:hAnsi="Times New Roman" w:cs="Times New Roman"/>
          <w:b/>
          <w:bCs/>
          <w:sz w:val="28"/>
          <w:szCs w:val="28"/>
          <w:lang w:val="vi-VN"/>
        </w:rPr>
      </w:pPr>
      <w:r w:rsidRPr="000018F2">
        <w:rPr>
          <w:rFonts w:ascii="Times New Roman" w:hAnsi="Times New Roman" w:cs="Times New Roman"/>
          <w:b/>
          <w:bCs/>
          <w:sz w:val="28"/>
          <w:szCs w:val="28"/>
          <w:lang w:val="vi-VN"/>
        </w:rPr>
        <w:t>KHÓ KHĂN, VƯỚNG MẮC, KIẾN NGHỊ CỦA ĐỊA PHƯƠNG</w:t>
      </w:r>
      <w:r w:rsidR="00005D5F">
        <w:rPr>
          <w:rFonts w:ascii="Times New Roman" w:hAnsi="Times New Roman" w:cs="Times New Roman"/>
          <w:b/>
          <w:bCs/>
          <w:sz w:val="28"/>
          <w:szCs w:val="28"/>
          <w:lang w:val="vi-VN"/>
        </w:rPr>
        <w:t xml:space="preserve"> TRONG TRIỂN KHAI THỰC HIỆN TỔ CHỨC CHÍNH QUYỀN ĐỊA PHƯƠNG 02 CẤP</w:t>
      </w:r>
    </w:p>
    <w:p w14:paraId="350D8E2D" w14:textId="03D5109A" w:rsidR="005614CB" w:rsidRPr="000018F2" w:rsidRDefault="00470762" w:rsidP="005614CB">
      <w:pPr>
        <w:spacing w:after="120" w:line="276" w:lineRule="auto"/>
        <w:jc w:val="center"/>
        <w:rPr>
          <w:rFonts w:ascii="Times New Roman" w:hAnsi="Times New Roman" w:cs="Times New Roman"/>
          <w:i/>
          <w:iCs/>
          <w:sz w:val="28"/>
          <w:szCs w:val="28"/>
          <w:lang w:val="vi-VN"/>
        </w:rPr>
      </w:pPr>
      <w:r w:rsidRPr="000018F2">
        <w:rPr>
          <w:rFonts w:ascii="Times New Roman" w:hAnsi="Times New Roman" w:cs="Times New Roman"/>
          <w:i/>
          <w:iCs/>
          <w:sz w:val="28"/>
          <w:szCs w:val="28"/>
          <w:lang w:val="vi-VN"/>
        </w:rPr>
        <w:t>(Kèm theo công văn số</w:t>
      </w:r>
      <w:r w:rsidR="00BE0162">
        <w:rPr>
          <w:rFonts w:ascii="Times New Roman" w:hAnsi="Times New Roman" w:cs="Times New Roman"/>
          <w:i/>
          <w:iCs/>
          <w:sz w:val="28"/>
          <w:szCs w:val="28"/>
          <w:lang w:val="vi-VN"/>
        </w:rPr>
        <w:t xml:space="preserve">        </w:t>
      </w:r>
      <w:r w:rsidRPr="000018F2">
        <w:rPr>
          <w:rFonts w:ascii="Times New Roman" w:hAnsi="Times New Roman" w:cs="Times New Roman"/>
          <w:i/>
          <w:iCs/>
          <w:sz w:val="28"/>
          <w:szCs w:val="28"/>
          <w:lang w:val="vi-VN"/>
        </w:rPr>
        <w:t xml:space="preserve"> </w:t>
      </w:r>
      <w:r w:rsidR="008F2502">
        <w:rPr>
          <w:rFonts w:ascii="Times New Roman" w:hAnsi="Times New Roman" w:cs="Times New Roman"/>
          <w:i/>
          <w:iCs/>
          <w:sz w:val="28"/>
          <w:szCs w:val="28"/>
          <w:lang w:val="vi-VN"/>
        </w:rPr>
        <w:t xml:space="preserve">/BTC-KTĐP </w:t>
      </w:r>
      <w:r w:rsidRPr="000018F2">
        <w:rPr>
          <w:rFonts w:ascii="Times New Roman" w:hAnsi="Times New Roman" w:cs="Times New Roman"/>
          <w:i/>
          <w:iCs/>
          <w:sz w:val="28"/>
          <w:szCs w:val="28"/>
          <w:lang w:val="vi-VN"/>
        </w:rPr>
        <w:t xml:space="preserve">ngày </w:t>
      </w:r>
      <w:r w:rsidR="00AA5D15">
        <w:rPr>
          <w:rFonts w:ascii="Times New Roman" w:hAnsi="Times New Roman" w:cs="Times New Roman"/>
          <w:i/>
          <w:iCs/>
          <w:sz w:val="28"/>
          <w:szCs w:val="28"/>
          <w:lang w:val="vi-VN"/>
        </w:rPr>
        <w:t xml:space="preserve">    </w:t>
      </w:r>
      <w:r w:rsidRPr="000018F2">
        <w:rPr>
          <w:rFonts w:ascii="Times New Roman" w:hAnsi="Times New Roman" w:cs="Times New Roman"/>
          <w:i/>
          <w:iCs/>
          <w:sz w:val="28"/>
          <w:szCs w:val="28"/>
          <w:lang w:val="vi-VN"/>
        </w:rPr>
        <w:t xml:space="preserve">/7/2025 của </w:t>
      </w:r>
      <w:r w:rsidR="005D2EEB">
        <w:rPr>
          <w:rFonts w:ascii="Times New Roman" w:hAnsi="Times New Roman" w:cs="Times New Roman"/>
          <w:i/>
          <w:iCs/>
          <w:sz w:val="28"/>
          <w:szCs w:val="28"/>
          <w:lang w:val="vi-VN"/>
        </w:rPr>
        <w:t>Bộ Tài chính</w:t>
      </w:r>
      <w:r w:rsidRPr="000018F2">
        <w:rPr>
          <w:rFonts w:ascii="Times New Roman" w:hAnsi="Times New Roman" w:cs="Times New Roman"/>
          <w:i/>
          <w:iCs/>
          <w:sz w:val="28"/>
          <w:szCs w:val="28"/>
          <w:lang w:val="vi-VN"/>
        </w:rPr>
        <w:t>)</w:t>
      </w:r>
    </w:p>
    <w:tbl>
      <w:tblPr>
        <w:tblW w:w="1611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350"/>
        <w:gridCol w:w="6480"/>
        <w:gridCol w:w="7560"/>
      </w:tblGrid>
      <w:tr w:rsidR="00B76753" w:rsidRPr="00CB19B3" w14:paraId="12D01917" w14:textId="59A7DE4B" w:rsidTr="00982689">
        <w:trPr>
          <w:trHeight w:val="760"/>
          <w:tblHeader/>
        </w:trPr>
        <w:tc>
          <w:tcPr>
            <w:tcW w:w="720" w:type="dxa"/>
            <w:shd w:val="clear" w:color="auto" w:fill="auto"/>
            <w:vAlign w:val="center"/>
            <w:hideMark/>
          </w:tcPr>
          <w:p w14:paraId="311BEA03" w14:textId="77777777" w:rsidR="00B76753" w:rsidRPr="003077F6" w:rsidRDefault="00B76753" w:rsidP="00982689">
            <w:pPr>
              <w:spacing w:after="0" w:line="240" w:lineRule="auto"/>
              <w:jc w:val="center"/>
              <w:rPr>
                <w:rFonts w:ascii="Times New Roman" w:eastAsia="Times New Roman" w:hAnsi="Times New Roman" w:cs="Times New Roman"/>
                <w:b/>
                <w:bCs/>
                <w:color w:val="000000"/>
                <w:kern w:val="0"/>
                <w14:ligatures w14:val="none"/>
              </w:rPr>
            </w:pPr>
            <w:r w:rsidRPr="003077F6">
              <w:rPr>
                <w:rFonts w:ascii="Times New Roman" w:eastAsia="Times New Roman" w:hAnsi="Times New Roman" w:cs="Times New Roman"/>
                <w:b/>
                <w:bCs/>
                <w:color w:val="000000"/>
                <w:kern w:val="0"/>
                <w14:ligatures w14:val="none"/>
              </w:rPr>
              <w:t>STT</w:t>
            </w:r>
          </w:p>
        </w:tc>
        <w:tc>
          <w:tcPr>
            <w:tcW w:w="1350" w:type="dxa"/>
            <w:shd w:val="clear" w:color="auto" w:fill="auto"/>
            <w:vAlign w:val="center"/>
            <w:hideMark/>
          </w:tcPr>
          <w:p w14:paraId="16ED4FFB" w14:textId="77777777" w:rsidR="00B76753" w:rsidRPr="00DD7D32" w:rsidRDefault="00B76753" w:rsidP="00C83F09">
            <w:pPr>
              <w:spacing w:after="0" w:line="240" w:lineRule="auto"/>
              <w:jc w:val="center"/>
              <w:rPr>
                <w:rFonts w:ascii="Times New Roman" w:eastAsia="Times New Roman" w:hAnsi="Times New Roman" w:cs="Times New Roman"/>
                <w:b/>
                <w:bCs/>
                <w:color w:val="000000"/>
                <w:kern w:val="0"/>
                <w14:ligatures w14:val="none"/>
              </w:rPr>
            </w:pPr>
            <w:r w:rsidRPr="00DD7D32">
              <w:rPr>
                <w:rFonts w:ascii="Times New Roman" w:eastAsia="Times New Roman" w:hAnsi="Times New Roman" w:cs="Times New Roman"/>
                <w:b/>
                <w:bCs/>
                <w:color w:val="000000"/>
                <w:kern w:val="0"/>
                <w14:ligatures w14:val="none"/>
              </w:rPr>
              <w:t>ĐỊA PHƯƠNG</w:t>
            </w:r>
          </w:p>
        </w:tc>
        <w:tc>
          <w:tcPr>
            <w:tcW w:w="6480" w:type="dxa"/>
            <w:shd w:val="clear" w:color="auto" w:fill="auto"/>
            <w:vAlign w:val="center"/>
            <w:hideMark/>
          </w:tcPr>
          <w:p w14:paraId="29221053" w14:textId="77777777" w:rsidR="00B76753" w:rsidRPr="00DD7D32" w:rsidRDefault="00B76753" w:rsidP="00C83F09">
            <w:pPr>
              <w:spacing w:after="0" w:line="240" w:lineRule="auto"/>
              <w:jc w:val="center"/>
              <w:rPr>
                <w:rFonts w:ascii="Times New Roman" w:eastAsia="Times New Roman" w:hAnsi="Times New Roman" w:cs="Times New Roman"/>
                <w:b/>
                <w:bCs/>
                <w:color w:val="000000"/>
                <w:kern w:val="0"/>
                <w14:ligatures w14:val="none"/>
              </w:rPr>
            </w:pPr>
            <w:r w:rsidRPr="00DD7D32">
              <w:rPr>
                <w:rFonts w:ascii="Times New Roman" w:eastAsia="Times New Roman" w:hAnsi="Times New Roman" w:cs="Times New Roman"/>
                <w:b/>
                <w:bCs/>
                <w:color w:val="000000"/>
                <w:kern w:val="0"/>
                <w14:ligatures w14:val="none"/>
              </w:rPr>
              <w:t>KIẾN NGHỊ</w:t>
            </w:r>
          </w:p>
        </w:tc>
        <w:tc>
          <w:tcPr>
            <w:tcW w:w="7560" w:type="dxa"/>
            <w:vAlign w:val="center"/>
          </w:tcPr>
          <w:p w14:paraId="1807C27C" w14:textId="7736716C" w:rsidR="00B76753" w:rsidRPr="00DD7D32" w:rsidRDefault="00B76753" w:rsidP="0068241D">
            <w:pPr>
              <w:spacing w:after="4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 xml:space="preserve">NỘI DUNG XỬ LÝ </w:t>
            </w:r>
          </w:p>
        </w:tc>
      </w:tr>
      <w:tr w:rsidR="00F435AF" w:rsidRPr="00CB19B3" w14:paraId="70248DA4" w14:textId="7CBCBD59" w:rsidTr="00982689">
        <w:trPr>
          <w:trHeight w:val="560"/>
        </w:trPr>
        <w:tc>
          <w:tcPr>
            <w:tcW w:w="720" w:type="dxa"/>
            <w:shd w:val="clear" w:color="auto" w:fill="auto"/>
            <w:vAlign w:val="center"/>
            <w:hideMark/>
          </w:tcPr>
          <w:p w14:paraId="178A629D" w14:textId="566AA7DB"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1</w:t>
            </w:r>
          </w:p>
        </w:tc>
        <w:tc>
          <w:tcPr>
            <w:tcW w:w="1350" w:type="dxa"/>
            <w:shd w:val="clear" w:color="auto" w:fill="auto"/>
            <w:vAlign w:val="center"/>
            <w:hideMark/>
          </w:tcPr>
          <w:p w14:paraId="32F5E1A0"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Cao Bằng</w:t>
            </w:r>
          </w:p>
        </w:tc>
        <w:tc>
          <w:tcPr>
            <w:tcW w:w="6480" w:type="dxa"/>
            <w:shd w:val="clear" w:color="auto" w:fill="auto"/>
            <w:vAlign w:val="center"/>
            <w:hideMark/>
          </w:tcPr>
          <w:p w14:paraId="1DDD80A2"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Quan tâm cấp kinh phí cho các địa phương thực hiện cải tạo trụ sở làm việc, nhà ở công vụ cho cán bộ, công chức; bố trí xe ô tô theo tiêu chuẩn, định mức; mua sắm trang thiết bị phục vụ đáp ứng yêu cầu nhiệm vụ triển khai thực hiện nhiệm vụ tại các xã, phường (mới).</w:t>
            </w:r>
          </w:p>
        </w:tc>
        <w:tc>
          <w:tcPr>
            <w:tcW w:w="7560" w:type="dxa"/>
            <w:vAlign w:val="center"/>
          </w:tcPr>
          <w:p w14:paraId="6FB90946" w14:textId="49DABEFA" w:rsidR="00F435AF" w:rsidRPr="00DD7D32"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18766B">
              <w:rPr>
                <w:rFonts w:ascii="Times New Roman" w:eastAsia="Times New Roman" w:hAnsi="Times New Roman" w:cs="Times New Roman"/>
                <w:color w:val="000000"/>
                <w:kern w:val="0"/>
                <w:sz w:val="20"/>
                <w:szCs w:val="20"/>
                <w14:ligatures w14:val="none"/>
              </w:rPr>
              <w:t>Đề nghị địa phương căn cứ Công điện số 95/CĐ-TTg ngày 22/6/2025 của Thủ tướng Chính phủ về việc đảm bảo cơ sở, vật chất cho các cơ quan, tổ chức đơn vị của Nhà nước khi thực hiện sắp xếp, tinh gọn bộ máy, sắp xếp</w:t>
            </w:r>
            <w:r>
              <w:rPr>
                <w:rFonts w:ascii="Times New Roman" w:eastAsia="Times New Roman" w:hAnsi="Times New Roman" w:cs="Times New Roman"/>
                <w:color w:val="000000"/>
                <w:kern w:val="0"/>
                <w:sz w:val="20"/>
                <w:szCs w:val="20"/>
                <w:lang w:val="vi-VN"/>
                <w14:ligatures w14:val="none"/>
              </w:rPr>
              <w:t xml:space="preserve"> đơn vị hành chính (ĐVHC) </w:t>
            </w:r>
            <w:r w:rsidRPr="0018766B">
              <w:rPr>
                <w:rFonts w:ascii="Times New Roman" w:eastAsia="Times New Roman" w:hAnsi="Times New Roman" w:cs="Times New Roman"/>
                <w:color w:val="000000"/>
                <w:kern w:val="0"/>
                <w:sz w:val="20"/>
                <w:szCs w:val="20"/>
                <w14:ligatures w14:val="none"/>
              </w:rPr>
              <w:t xml:space="preserve">xây dựng mô hình </w:t>
            </w:r>
            <w:r>
              <w:rPr>
                <w:rFonts w:ascii="Times New Roman" w:eastAsia="Times New Roman" w:hAnsi="Times New Roman" w:cs="Times New Roman"/>
                <w:color w:val="000000"/>
                <w:kern w:val="0"/>
                <w:sz w:val="20"/>
                <w:szCs w:val="20"/>
                <w14:ligatures w14:val="none"/>
              </w:rPr>
              <w:t>chính</w:t>
            </w:r>
            <w:r>
              <w:rPr>
                <w:rFonts w:ascii="Times New Roman" w:eastAsia="Times New Roman" w:hAnsi="Times New Roman" w:cs="Times New Roman"/>
                <w:color w:val="000000"/>
                <w:kern w:val="0"/>
                <w:sz w:val="20"/>
                <w:szCs w:val="20"/>
                <w:lang w:val="vi-VN"/>
                <w14:ligatures w14:val="none"/>
              </w:rPr>
              <w:t xml:space="preserve"> quyền địa phương (CQĐP)</w:t>
            </w:r>
            <w:r w:rsidRPr="0018766B">
              <w:rPr>
                <w:rFonts w:ascii="Times New Roman" w:eastAsia="Times New Roman" w:hAnsi="Times New Roman" w:cs="Times New Roman"/>
                <w:color w:val="000000"/>
                <w:kern w:val="0"/>
                <w:sz w:val="20"/>
                <w:szCs w:val="20"/>
                <w14:ligatures w14:val="none"/>
              </w:rPr>
              <w:t xml:space="preserve"> 02 cấp để triển khai thực hiện. Trường hợp khó khăn về nguồn kinh phí thì đề nghị các địa phương rà soát, báo cáo theo đúng chỉ đạo của Thủ tướng Chính phủ tại Công điện số 95/CĐ-TTg. Trước mắt, đề nghị </w:t>
            </w:r>
            <w:r>
              <w:rPr>
                <w:rFonts w:ascii="Times New Roman" w:eastAsia="Times New Roman" w:hAnsi="Times New Roman" w:cs="Times New Roman"/>
                <w:color w:val="000000"/>
                <w:kern w:val="0"/>
                <w:sz w:val="20"/>
                <w:szCs w:val="20"/>
                <w:lang w:val="vi-VN"/>
                <w14:ligatures w14:val="none"/>
              </w:rPr>
              <w:t>t</w:t>
            </w:r>
            <w:r w:rsidRPr="0018766B">
              <w:rPr>
                <w:rFonts w:ascii="Times New Roman" w:eastAsia="Times New Roman" w:hAnsi="Times New Roman" w:cs="Times New Roman"/>
                <w:color w:val="000000"/>
                <w:kern w:val="0"/>
                <w:sz w:val="20"/>
                <w:szCs w:val="20"/>
                <w14:ligatures w14:val="none"/>
              </w:rPr>
              <w:t xml:space="preserve">ỉnh sử dụng nguồn </w:t>
            </w:r>
            <w:r>
              <w:rPr>
                <w:rFonts w:ascii="Times New Roman" w:eastAsia="Times New Roman" w:hAnsi="Times New Roman" w:cs="Times New Roman"/>
                <w:color w:val="000000"/>
                <w:kern w:val="0"/>
                <w:sz w:val="20"/>
                <w:szCs w:val="20"/>
                <w14:ligatures w14:val="none"/>
              </w:rPr>
              <w:t>ngân</w:t>
            </w:r>
            <w:r>
              <w:rPr>
                <w:rFonts w:ascii="Times New Roman" w:eastAsia="Times New Roman" w:hAnsi="Times New Roman" w:cs="Times New Roman"/>
                <w:color w:val="000000"/>
                <w:kern w:val="0"/>
                <w:sz w:val="20"/>
                <w:szCs w:val="20"/>
                <w:lang w:val="vi-VN"/>
                <w14:ligatures w14:val="none"/>
              </w:rPr>
              <w:t xml:space="preserve"> sách trung ương (NSTW)</w:t>
            </w:r>
            <w:r w:rsidRPr="0018766B">
              <w:rPr>
                <w:rFonts w:ascii="Times New Roman" w:eastAsia="Times New Roman" w:hAnsi="Times New Roman" w:cs="Times New Roman"/>
                <w:color w:val="000000"/>
                <w:kern w:val="0"/>
                <w:sz w:val="20"/>
                <w:szCs w:val="20"/>
                <w14:ligatures w14:val="none"/>
              </w:rPr>
              <w:t xml:space="preserve"> đã bổ sung </w:t>
            </w:r>
            <w:r>
              <w:rPr>
                <w:rFonts w:ascii="Times New Roman" w:eastAsia="Times New Roman" w:hAnsi="Times New Roman" w:cs="Times New Roman"/>
                <w:color w:val="000000"/>
                <w:kern w:val="0"/>
                <w:sz w:val="20"/>
                <w:szCs w:val="20"/>
                <w14:ligatures w14:val="none"/>
              </w:rPr>
              <w:t>tại</w:t>
            </w:r>
            <w:r>
              <w:rPr>
                <w:rFonts w:ascii="Times New Roman" w:eastAsia="Times New Roman" w:hAnsi="Times New Roman" w:cs="Times New Roman"/>
                <w:color w:val="000000"/>
                <w:kern w:val="0"/>
                <w:sz w:val="20"/>
                <w:szCs w:val="20"/>
                <w:lang w:val="vi-VN"/>
                <w14:ligatures w14:val="none"/>
              </w:rPr>
              <w:t xml:space="preserve"> </w:t>
            </w:r>
            <w:r w:rsidRPr="0018766B">
              <w:rPr>
                <w:rFonts w:ascii="Times New Roman" w:eastAsia="Times New Roman" w:hAnsi="Times New Roman" w:cs="Times New Roman"/>
                <w:color w:val="000000"/>
                <w:kern w:val="0"/>
                <w:sz w:val="20"/>
                <w:szCs w:val="20"/>
                <w14:ligatures w14:val="none"/>
              </w:rPr>
              <w:t xml:space="preserve">Quyết định số 1353/QĐ-TTg ngày 25/6/2025 của Thủ tướng Chính phủ về việc bổ sung có mục tiêu từ ngân sách trung ương </w:t>
            </w:r>
            <w:r>
              <w:rPr>
                <w:rFonts w:ascii="Times New Roman" w:eastAsia="Times New Roman" w:hAnsi="Times New Roman" w:cs="Times New Roman"/>
                <w:color w:val="000000"/>
                <w:kern w:val="0"/>
                <w:sz w:val="20"/>
                <w:szCs w:val="20"/>
                <w:lang w:val="vi-VN"/>
                <w14:ligatures w14:val="none"/>
              </w:rPr>
              <w:t xml:space="preserve">(NSTW) </w:t>
            </w:r>
            <w:r w:rsidRPr="0018766B">
              <w:rPr>
                <w:rFonts w:ascii="Times New Roman" w:eastAsia="Times New Roman" w:hAnsi="Times New Roman" w:cs="Times New Roman"/>
                <w:color w:val="000000"/>
                <w:kern w:val="0"/>
                <w:sz w:val="20"/>
                <w:szCs w:val="20"/>
                <w14:ligatures w14:val="none"/>
              </w:rPr>
              <w:t xml:space="preserve">cho các địa phương để hỗ trợ kinh phí sắp xếp đơn vị hành chính cấp tỉnh, cấp xã, chủ động sử dụng nguồn </w:t>
            </w:r>
            <w:r>
              <w:rPr>
                <w:rFonts w:ascii="Times New Roman" w:eastAsia="Times New Roman" w:hAnsi="Times New Roman" w:cs="Times New Roman"/>
                <w:color w:val="000000"/>
                <w:kern w:val="0"/>
                <w:sz w:val="20"/>
                <w:szCs w:val="20"/>
                <w14:ligatures w14:val="none"/>
              </w:rPr>
              <w:t>ngân</w:t>
            </w:r>
            <w:r>
              <w:rPr>
                <w:rFonts w:ascii="Times New Roman" w:eastAsia="Times New Roman" w:hAnsi="Times New Roman" w:cs="Times New Roman"/>
                <w:color w:val="000000"/>
                <w:kern w:val="0"/>
                <w:sz w:val="20"/>
                <w:szCs w:val="20"/>
                <w:lang w:val="vi-VN"/>
                <w14:ligatures w14:val="none"/>
              </w:rPr>
              <w:t xml:space="preserve"> sách địa phương</w:t>
            </w:r>
            <w:r w:rsidRPr="0018766B">
              <w:rPr>
                <w:rFonts w:ascii="Times New Roman" w:eastAsia="Times New Roman" w:hAnsi="Times New Roman" w:cs="Times New Roman"/>
                <w:color w:val="000000"/>
                <w:kern w:val="0"/>
                <w:sz w:val="20"/>
                <w:szCs w:val="20"/>
                <w14:ligatures w14:val="none"/>
              </w:rPr>
              <w:t xml:space="preserve"> và các nguồn tài chính hợp pháp khác để thực hiện.</w:t>
            </w:r>
          </w:p>
        </w:tc>
      </w:tr>
      <w:tr w:rsidR="00F435AF" w:rsidRPr="00636D4C" w14:paraId="4C00096E" w14:textId="28A5ABB5" w:rsidTr="00982689">
        <w:trPr>
          <w:trHeight w:val="1680"/>
        </w:trPr>
        <w:tc>
          <w:tcPr>
            <w:tcW w:w="720" w:type="dxa"/>
            <w:shd w:val="clear" w:color="auto" w:fill="auto"/>
            <w:noWrap/>
            <w:vAlign w:val="center"/>
            <w:hideMark/>
          </w:tcPr>
          <w:p w14:paraId="455ABC39" w14:textId="70CFE7BA"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2</w:t>
            </w:r>
          </w:p>
        </w:tc>
        <w:tc>
          <w:tcPr>
            <w:tcW w:w="1350" w:type="dxa"/>
            <w:shd w:val="clear" w:color="auto" w:fill="auto"/>
            <w:noWrap/>
            <w:vAlign w:val="center"/>
            <w:hideMark/>
          </w:tcPr>
          <w:p w14:paraId="44F3A2E9" w14:textId="33EAE4A9"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Cao Bằng</w:t>
            </w:r>
          </w:p>
        </w:tc>
        <w:tc>
          <w:tcPr>
            <w:tcW w:w="6480" w:type="dxa"/>
            <w:shd w:val="clear" w:color="auto" w:fill="auto"/>
            <w:vAlign w:val="center"/>
            <w:hideMark/>
          </w:tcPr>
          <w:p w14:paraId="51BD9411" w14:textId="2E3151AB"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 xml:space="preserve">Đối với các </w:t>
            </w:r>
            <w:r>
              <w:rPr>
                <w:rFonts w:ascii="Times New Roman" w:eastAsia="Times New Roman" w:hAnsi="Times New Roman" w:cs="Times New Roman"/>
                <w:color w:val="000000"/>
                <w:kern w:val="0"/>
                <w:sz w:val="20"/>
                <w:szCs w:val="20"/>
                <w14:ligatures w14:val="none"/>
              </w:rPr>
              <w:t>thủ</w:t>
            </w:r>
            <w:r>
              <w:rPr>
                <w:rFonts w:ascii="Times New Roman" w:eastAsia="Times New Roman" w:hAnsi="Times New Roman" w:cs="Times New Roman"/>
                <w:color w:val="000000"/>
                <w:kern w:val="0"/>
                <w:sz w:val="20"/>
                <w:szCs w:val="20"/>
                <w:lang w:val="vi-VN"/>
                <w14:ligatures w14:val="none"/>
              </w:rPr>
              <w:t xml:space="preserve"> tục hành chính (TTHC)</w:t>
            </w:r>
            <w:r w:rsidRPr="00DD7D32">
              <w:rPr>
                <w:rFonts w:ascii="Times New Roman" w:eastAsia="Times New Roman" w:hAnsi="Times New Roman" w:cs="Times New Roman"/>
                <w:color w:val="000000"/>
                <w:kern w:val="0"/>
                <w:sz w:val="20"/>
                <w:szCs w:val="20"/>
                <w14:ligatures w14:val="none"/>
              </w:rPr>
              <w:t xml:space="preserve"> thuộc thẩm quyền giải quyết của UBND cấp huyện, hiện nay một số Bộ, cơ quan ngang Bộ chưa ban hành Quyết định công bố TTHC sửa đổi theo các Nghị định về phân cấp, phân quyền, phân định thẩm quyền (có Bộ Nội vụ, Bộ Xây dựng, Bộ Văn hóa, Thể thao và Du lịch đã ban hành Quyết định công bố). Vì vậy tỉnh chưa có cơ sở để ban hành các Quyết định công bố danh mục TTHC thuộc thẩm quyền giải quyết của UBND cấp xã (đối với những TTHC trên) áp dụng trên địa bàn tỉnh. Kiến nghị Chỉ đạo các bộ, ngành tiếp tục bám sát và ban hành các văn bản hướng dẫn cụ thể, chi tiết trong việc triển khai các nhiệm vụ tại chính quyền các xã, phường (mới).</w:t>
            </w:r>
          </w:p>
        </w:tc>
        <w:tc>
          <w:tcPr>
            <w:tcW w:w="7560" w:type="dxa"/>
            <w:vAlign w:val="center"/>
          </w:tcPr>
          <w:p w14:paraId="76B8FA2B" w14:textId="3358C37F" w:rsidR="00F435AF" w:rsidRPr="00D12550"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Bộ Tài chính đã ban hành các Quyết định số</w:t>
            </w:r>
            <w:r w:rsidRPr="00636D4C">
              <w:rPr>
                <w:rFonts w:ascii="Times New Roman" w:eastAsia="Times New Roman" w:hAnsi="Times New Roman" w:cs="Times New Roman"/>
                <w:color w:val="000000"/>
                <w:kern w:val="0"/>
                <w:sz w:val="20"/>
                <w:szCs w:val="20"/>
                <w:lang w:val="vi-VN"/>
                <w14:ligatures w14:val="none"/>
              </w:rPr>
              <w:t>: 2371/QĐ</w:t>
            </w:r>
            <w:r>
              <w:rPr>
                <w:rFonts w:ascii="Times New Roman" w:eastAsia="Times New Roman" w:hAnsi="Times New Roman" w:cs="Times New Roman"/>
                <w:color w:val="000000"/>
                <w:kern w:val="0"/>
                <w:sz w:val="20"/>
                <w:szCs w:val="20"/>
                <w:lang w:val="vi-VN"/>
                <w14:ligatures w14:val="none"/>
              </w:rPr>
              <w:t>-BTC ngày 04/7/2025, 2345/QĐ-BTC ngày 03/7/2025, 2194/QĐ-BTC ngày 27/6/2025, 2171/QĐ-BTC ngày 26/6/2025, 2113/QĐ-BTC ngày 23/6/2025, 2108/QĐ-BTC ngày 23/6/2025, 2038/QĐ-BTC ngày 16/6/2025, 2096/QĐ-BTC ngày 23/6/2025, 2354/QĐ-BTC ngày 03/7/2025, 2353/QĐ-BTC ngày 03/7/2025, 2122/QĐ-BTC ngày 24/6/2025, 2103/QĐ-BTC ngày 23/6/2025, 2102/QĐ-BTC ngày 23/6/2025 về việc công bố thủ tục hành chính được sửa đổi, bổ sung thuộc các lĩnh vực thuộc phạm vi chức năng quản lý của Bộ Tài chính bao gồm: quản lý thuế, kinh doanh bảo hiểm, phí và lệ phí, thuế, hải quan, quản lý công sản, tài chính đất đai, thành lập và hoạt động của doanh nghiệp, hộ kinh doanh, tổ hợp tác, hợp tác xã, liên hiệp hợp tác xã.</w:t>
            </w:r>
          </w:p>
        </w:tc>
      </w:tr>
      <w:tr w:rsidR="00F435AF" w:rsidRPr="00CB19B3" w14:paraId="70E59D7E" w14:textId="6D42443E" w:rsidTr="00982689">
        <w:trPr>
          <w:trHeight w:val="840"/>
        </w:trPr>
        <w:tc>
          <w:tcPr>
            <w:tcW w:w="720" w:type="dxa"/>
            <w:shd w:val="clear" w:color="auto" w:fill="auto"/>
            <w:vAlign w:val="center"/>
            <w:hideMark/>
          </w:tcPr>
          <w:p w14:paraId="36AF4A83" w14:textId="70BA4425"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3</w:t>
            </w:r>
          </w:p>
        </w:tc>
        <w:tc>
          <w:tcPr>
            <w:tcW w:w="1350" w:type="dxa"/>
            <w:shd w:val="clear" w:color="auto" w:fill="auto"/>
            <w:vAlign w:val="center"/>
            <w:hideMark/>
          </w:tcPr>
          <w:p w14:paraId="7DCA5123"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Bắc Kạn</w:t>
            </w:r>
          </w:p>
        </w:tc>
        <w:tc>
          <w:tcPr>
            <w:tcW w:w="6480" w:type="dxa"/>
            <w:shd w:val="clear" w:color="auto" w:fill="auto"/>
            <w:vAlign w:val="center"/>
            <w:hideMark/>
          </w:tcPr>
          <w:p w14:paraId="5597ABD7" w14:textId="6B1A2129"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CB19B3">
              <w:rPr>
                <w:rFonts w:ascii="Times New Roman" w:eastAsia="Times New Roman" w:hAnsi="Times New Roman" w:cs="Times New Roman"/>
                <w:color w:val="000000"/>
                <w:kern w:val="0"/>
                <w:sz w:val="20"/>
                <w:szCs w:val="20"/>
                <w:lang w:val="vi-VN"/>
                <w14:ligatures w14:val="none"/>
              </w:rPr>
              <w:t>Đ</w:t>
            </w:r>
            <w:r w:rsidRPr="00DD7D32">
              <w:rPr>
                <w:rFonts w:ascii="Times New Roman" w:eastAsia="Times New Roman" w:hAnsi="Times New Roman" w:cs="Times New Roman"/>
                <w:color w:val="000000"/>
                <w:kern w:val="0"/>
                <w:sz w:val="20"/>
                <w:szCs w:val="20"/>
                <w14:ligatures w14:val="none"/>
              </w:rPr>
              <w:t>ề nghị Bộ Tài chính quan tâm, xem xét sớm bổ sung kinh phí cho tỉnh Bắc Kạn để chi trả cho các đối tượng nghỉ hưu, nghỉ thôi việc theo Nghị định số 178/2024/NĐ-CP đã có quyết định phê duyệt kinh phí đến 30/6/2025; quan tâm, xem xét cấp bổ sung cho tỉnh ngay sau khi tỉnh có Quyết định phê duyệt đối tượng nghỉ và phê duyệt kinh phí thực hiện chính sách theo Nghị định số 178/2024/NĐ-CP.</w:t>
            </w:r>
          </w:p>
        </w:tc>
        <w:tc>
          <w:tcPr>
            <w:tcW w:w="7560" w:type="dxa"/>
            <w:vAlign w:val="center"/>
          </w:tcPr>
          <w:p w14:paraId="2240FAFB" w14:textId="7CEA8822" w:rsidR="00F435AF"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C43C32">
              <w:rPr>
                <w:rFonts w:ascii="Times New Roman" w:eastAsia="Times New Roman" w:hAnsi="Times New Roman" w:cs="Times New Roman"/>
                <w:color w:val="000000"/>
                <w:kern w:val="0"/>
                <w:sz w:val="20"/>
                <w:szCs w:val="20"/>
                <w14:ligatures w14:val="none"/>
              </w:rPr>
              <w:t>Trên cơ sở đề nghị của địa phương, Bộ Tài chính đã trình và Thủ tướng Chính phủ đã có quyết định hỗ trợ 12,3 tỷ đồng cho tỉnh Bắc Kạn để thực hiện chính sách và đang</w:t>
            </w:r>
            <w:r>
              <w:rPr>
                <w:rFonts w:ascii="Times New Roman" w:eastAsia="Times New Roman" w:hAnsi="Times New Roman" w:cs="Times New Roman"/>
                <w:color w:val="000000"/>
                <w:kern w:val="0"/>
                <w:sz w:val="20"/>
                <w:szCs w:val="20"/>
                <w14:ligatures w14:val="none"/>
              </w:rPr>
              <w:t xml:space="preserve"> tiếp</w:t>
            </w:r>
            <w:r>
              <w:rPr>
                <w:rFonts w:ascii="Times New Roman" w:eastAsia="Times New Roman" w:hAnsi="Times New Roman" w:cs="Times New Roman"/>
                <w:color w:val="000000"/>
                <w:kern w:val="0"/>
                <w:sz w:val="20"/>
                <w:szCs w:val="20"/>
                <w:lang w:val="vi-VN"/>
                <w14:ligatures w14:val="none"/>
              </w:rPr>
              <w:t xml:space="preserve"> tục</w:t>
            </w:r>
            <w:r w:rsidRPr="00C43C32">
              <w:rPr>
                <w:rFonts w:ascii="Times New Roman" w:eastAsia="Times New Roman" w:hAnsi="Times New Roman" w:cs="Times New Roman"/>
                <w:color w:val="000000"/>
                <w:kern w:val="0"/>
                <w:sz w:val="20"/>
                <w:szCs w:val="20"/>
                <w14:ligatures w14:val="none"/>
              </w:rPr>
              <w:t xml:space="preserve"> trình cấp có thẩm quyền hỗ trợ cho tỉnh Bắc Kạn </w:t>
            </w:r>
            <w:r w:rsidRPr="00B76753">
              <w:rPr>
                <w:rFonts w:ascii="Times New Roman" w:eastAsia="Times New Roman" w:hAnsi="Times New Roman" w:cs="Times New Roman"/>
                <w:color w:val="000000" w:themeColor="text1"/>
                <w:kern w:val="0"/>
                <w:sz w:val="20"/>
                <w:szCs w:val="20"/>
                <w14:ligatures w14:val="none"/>
              </w:rPr>
              <w:t>864 tỷ đồng.</w:t>
            </w:r>
          </w:p>
        </w:tc>
      </w:tr>
      <w:tr w:rsidR="00F435AF" w:rsidRPr="00636D4C" w14:paraId="6297EAAE" w14:textId="31E93DC9" w:rsidTr="00982689">
        <w:trPr>
          <w:trHeight w:val="560"/>
        </w:trPr>
        <w:tc>
          <w:tcPr>
            <w:tcW w:w="720" w:type="dxa"/>
            <w:shd w:val="clear" w:color="auto" w:fill="auto"/>
            <w:vAlign w:val="center"/>
            <w:hideMark/>
          </w:tcPr>
          <w:p w14:paraId="63731CC9" w14:textId="70E3D21F"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4</w:t>
            </w:r>
          </w:p>
        </w:tc>
        <w:tc>
          <w:tcPr>
            <w:tcW w:w="1350" w:type="dxa"/>
            <w:shd w:val="clear" w:color="auto" w:fill="auto"/>
            <w:vAlign w:val="center"/>
            <w:hideMark/>
          </w:tcPr>
          <w:p w14:paraId="522444ED"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Lào Cai</w:t>
            </w:r>
          </w:p>
        </w:tc>
        <w:tc>
          <w:tcPr>
            <w:tcW w:w="6480" w:type="dxa"/>
            <w:shd w:val="clear" w:color="auto" w:fill="auto"/>
            <w:vAlign w:val="center"/>
            <w:hideMark/>
          </w:tcPr>
          <w:p w14:paraId="5475263E" w14:textId="50706F8D"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Xem xét ban hành cơ chế đặc thù về biên chế, ngân sách, đầu tư hạ tầng công nghệ thông tin và đào tạo cán bộ cho các địa phương thực hiện sắp xếp quy mô lớn như tỉnh Lào Cai (mới).</w:t>
            </w:r>
          </w:p>
        </w:tc>
        <w:tc>
          <w:tcPr>
            <w:tcW w:w="7560" w:type="dxa"/>
            <w:vAlign w:val="center"/>
          </w:tcPr>
          <w:p w14:paraId="5BF41040" w14:textId="1B24A7EF" w:rsidR="00F435AF" w:rsidRPr="00652495" w:rsidRDefault="00F435AF" w:rsidP="00F435AF">
            <w:pPr>
              <w:tabs>
                <w:tab w:val="left" w:pos="449"/>
              </w:tabs>
              <w:spacing w:after="40" w:line="240" w:lineRule="auto"/>
              <w:jc w:val="both"/>
              <w:rPr>
                <w:rFonts w:ascii="Times New Roman" w:eastAsia="Times New Roman" w:hAnsi="Times New Roman" w:cs="Times New Roman"/>
                <w:sz w:val="20"/>
                <w:szCs w:val="20"/>
                <w:lang w:val="vi-VN"/>
              </w:rPr>
            </w:pPr>
            <w:r>
              <w:rPr>
                <w:rFonts w:ascii="Times New Roman" w:eastAsia="Times New Roman" w:hAnsi="Times New Roman" w:cs="Times New Roman"/>
                <w:sz w:val="20"/>
                <w:szCs w:val="20"/>
                <w:lang w:val="vi-VN"/>
              </w:rPr>
              <w:t xml:space="preserve">Hiện nay, việc quản lý biên chế được thực hiện theo quy định của pháp luật về cán bộ, công chức và viên chức; việc quản lý ngân sách được thực hiện theo quy định của pháp luật về ngân sách nhà nước và đầu tư công; việc đầu tư hạ tầng công nghệ được thực hiện theo quy định của pháp luật về đầu tư công, khoa học và công nghệ. Do đó, đề nghị địa phương thực hiện theo quy định, nếu có khó khăn, vướng mắc, đề nghị địa phương có kiến nghị cụ thể về cơ chế đặc thù, phạm vi, quy mô và thời gian áp dụng để các bộ, ngành liên quan có hướng dẫn cụ thể. </w:t>
            </w:r>
          </w:p>
        </w:tc>
      </w:tr>
      <w:tr w:rsidR="00F435AF" w:rsidRPr="00636D4C" w14:paraId="45ABC441" w14:textId="3D2044FC" w:rsidTr="00982689">
        <w:trPr>
          <w:trHeight w:val="958"/>
        </w:trPr>
        <w:tc>
          <w:tcPr>
            <w:tcW w:w="720" w:type="dxa"/>
            <w:shd w:val="clear" w:color="auto" w:fill="auto"/>
            <w:noWrap/>
            <w:vAlign w:val="center"/>
            <w:hideMark/>
          </w:tcPr>
          <w:p w14:paraId="7912FC3C" w14:textId="0FA7F429"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5</w:t>
            </w:r>
          </w:p>
        </w:tc>
        <w:tc>
          <w:tcPr>
            <w:tcW w:w="1350" w:type="dxa"/>
            <w:shd w:val="clear" w:color="auto" w:fill="auto"/>
            <w:noWrap/>
            <w:vAlign w:val="center"/>
            <w:hideMark/>
          </w:tcPr>
          <w:p w14:paraId="686380A2" w14:textId="5F9CBE69"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Lào Cai</w:t>
            </w:r>
          </w:p>
        </w:tc>
        <w:tc>
          <w:tcPr>
            <w:tcW w:w="6480" w:type="dxa"/>
            <w:shd w:val="clear" w:color="auto" w:fill="auto"/>
            <w:vAlign w:val="center"/>
            <w:hideMark/>
          </w:tcPr>
          <w:p w14:paraId="4C4AA3D6" w14:textId="0474678B"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Đề nghị Chính phủ xem xét hỗ trợ vốn từ ngân sách Trung ương cho các địa phương miền núi có điều kiện kinh tế - xã hội còn khó khăn trong việc sửa chữa, cải tạo cơ sở vật chất cũ; mua sắm trang thiết bị, ô tô phục vụ hoạt động của chính quyền địa phương cấp xã; thực hiện các Dự án chỉnh lý tài liệu tồn đọng và số hóa tài liệu lưu trữ trong quá trình thực hiện sắp xếp tổ chức bộ máy của Hệ thống chính trị.</w:t>
            </w:r>
          </w:p>
        </w:tc>
        <w:tc>
          <w:tcPr>
            <w:tcW w:w="7560" w:type="dxa"/>
            <w:vAlign w:val="center"/>
          </w:tcPr>
          <w:p w14:paraId="50E7DC27" w14:textId="67EF9C48" w:rsidR="00F435AF" w:rsidRPr="003554B1"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554B1">
              <w:rPr>
                <w:rFonts w:ascii="Times New Roman" w:eastAsia="Times New Roman" w:hAnsi="Times New Roman" w:cs="Times New Roman"/>
                <w:color w:val="000000"/>
                <w:kern w:val="0"/>
                <w:sz w:val="20"/>
                <w:szCs w:val="20"/>
                <w:lang w:val="vi-VN"/>
                <w14:ligatures w14:val="none"/>
              </w:rPr>
              <w:t xml:space="preserve">Đề nghị địa phương căn cứ Công điện số 95/CĐ-TTg ngày 22/6/2025 của Thủ tướng Chính phủ về việc đảm bảo cơ sở, vật chất cho các cơ quan, tổ chức đơn vị của Nhà nước khi thực hiện sắp xếp, tinh gọn bộ máy, sắp xếp ĐVHC xây dựng mô hình CQĐP 02 cấp để triển khai thực hiện. Trường hợp khó khăn về nguồn kinh phí thì đề nghị các địa phương rà soát, báo cáo theo đúng chỉ đạo của Thủ tướng Chính phủ tại Công điện số 95/CĐ-TTg. Trước mắt, đề nghị </w:t>
            </w:r>
            <w:r>
              <w:rPr>
                <w:rFonts w:ascii="Times New Roman" w:eastAsia="Times New Roman" w:hAnsi="Times New Roman" w:cs="Times New Roman"/>
                <w:color w:val="000000"/>
                <w:kern w:val="0"/>
                <w:sz w:val="20"/>
                <w:szCs w:val="20"/>
                <w:lang w:val="vi-VN"/>
                <w14:ligatures w14:val="none"/>
              </w:rPr>
              <w:t>tỉnh</w:t>
            </w:r>
            <w:r w:rsidRPr="003554B1">
              <w:rPr>
                <w:rFonts w:ascii="Times New Roman" w:eastAsia="Times New Roman" w:hAnsi="Times New Roman" w:cs="Times New Roman"/>
                <w:color w:val="000000"/>
                <w:kern w:val="0"/>
                <w:sz w:val="20"/>
                <w:szCs w:val="20"/>
                <w:lang w:val="vi-VN"/>
                <w14:ligatures w14:val="none"/>
              </w:rPr>
              <w:t xml:space="preserve"> sử dụng nguồn NSTW đã bổ sung (Quyết định số 1353/QĐ-TTg ngày 25/6/2025 của Thủ tướng Chính phủ về việc bổ sung có mục tiêu từ ngân sách trung ương cho các địa phương để hỗ trợ kinh phí sắp xếp đơn vị hành chính cấp tỉnh, cấp xã), chủ động sử dụng nguồn NSĐP và các nguồn tài chính hợp pháp khác để thực hiện.</w:t>
            </w:r>
          </w:p>
          <w:p w14:paraId="1A035A4E" w14:textId="71C87F5D"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554B1">
              <w:rPr>
                <w:rFonts w:ascii="Times New Roman" w:eastAsia="Times New Roman" w:hAnsi="Times New Roman" w:cs="Times New Roman"/>
                <w:color w:val="000000"/>
                <w:kern w:val="0"/>
                <w:sz w:val="20"/>
                <w:szCs w:val="20"/>
                <w:lang w:val="vi-VN"/>
                <w14:ligatures w14:val="none"/>
              </w:rPr>
              <w:t xml:space="preserve">Đối với kinh phí thực hiện các Dự án chỉnh lý tài liệu tồn đọng và số hóa tài liệu lưu trữ trong quá trình thực hiện sắp xếp tổ chức bộ máy của Hệ thống chính trị: Đề nghị </w:t>
            </w:r>
            <w:r>
              <w:rPr>
                <w:rFonts w:ascii="Times New Roman" w:eastAsia="Times New Roman" w:hAnsi="Times New Roman" w:cs="Times New Roman"/>
                <w:color w:val="000000"/>
                <w:kern w:val="0"/>
                <w:sz w:val="20"/>
                <w:szCs w:val="20"/>
                <w:lang w:val="vi-VN"/>
                <w14:ligatures w14:val="none"/>
              </w:rPr>
              <w:t>tỉnh</w:t>
            </w:r>
            <w:r w:rsidRPr="003554B1">
              <w:rPr>
                <w:rFonts w:ascii="Times New Roman" w:eastAsia="Times New Roman" w:hAnsi="Times New Roman" w:cs="Times New Roman"/>
                <w:color w:val="000000"/>
                <w:kern w:val="0"/>
                <w:sz w:val="20"/>
                <w:szCs w:val="20"/>
                <w:lang w:val="vi-VN"/>
                <w14:ligatures w14:val="none"/>
              </w:rPr>
              <w:t xml:space="preserve"> báo cáo Bộ Nội vụ.</w:t>
            </w:r>
          </w:p>
        </w:tc>
      </w:tr>
      <w:tr w:rsidR="00F435AF" w:rsidRPr="00636D4C" w14:paraId="25B859B3" w14:textId="0DAC2540" w:rsidTr="00982689">
        <w:trPr>
          <w:trHeight w:val="560"/>
        </w:trPr>
        <w:tc>
          <w:tcPr>
            <w:tcW w:w="720" w:type="dxa"/>
            <w:shd w:val="clear" w:color="auto" w:fill="auto"/>
            <w:noWrap/>
            <w:vAlign w:val="center"/>
            <w:hideMark/>
          </w:tcPr>
          <w:p w14:paraId="6994CF92" w14:textId="11DB27A3"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6</w:t>
            </w:r>
          </w:p>
        </w:tc>
        <w:tc>
          <w:tcPr>
            <w:tcW w:w="1350" w:type="dxa"/>
            <w:shd w:val="clear" w:color="auto" w:fill="auto"/>
            <w:noWrap/>
            <w:vAlign w:val="center"/>
            <w:hideMark/>
          </w:tcPr>
          <w:p w14:paraId="0CEC0BB4" w14:textId="423B57FD"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Lào Cai</w:t>
            </w:r>
          </w:p>
        </w:tc>
        <w:tc>
          <w:tcPr>
            <w:tcW w:w="6480" w:type="dxa"/>
            <w:shd w:val="clear" w:color="auto" w:fill="auto"/>
            <w:vAlign w:val="center"/>
            <w:hideMark/>
          </w:tcPr>
          <w:p w14:paraId="5689AEF0" w14:textId="3472CB28"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Đề nghị Chính phủ giao Bộ Tài chính xem xét hướng dẫn về cơ chế quản lý xe ô tô đối với cấp xã để áp dụng chung toàn quốc đối với 3 cơ quan: Đảng ủy, HĐND và UBND, Ủy ban MTTQ Việt Nam cấp xã.</w:t>
            </w:r>
          </w:p>
        </w:tc>
        <w:tc>
          <w:tcPr>
            <w:tcW w:w="7560" w:type="dxa"/>
            <w:vAlign w:val="center"/>
          </w:tcPr>
          <w:p w14:paraId="201DC398" w14:textId="61EC4E09" w:rsidR="00F435AF" w:rsidRPr="00BE7FF6" w:rsidRDefault="00F435AF" w:rsidP="00F435AF">
            <w:pPr>
              <w:tabs>
                <w:tab w:val="left" w:pos="1050"/>
              </w:tabs>
              <w:spacing w:after="40" w:line="240" w:lineRule="auto"/>
              <w:jc w:val="both"/>
              <w:rPr>
                <w:rFonts w:ascii="Times New Roman" w:eastAsia="Times New Roman" w:hAnsi="Times New Roman" w:cs="Times New Roman"/>
                <w:sz w:val="20"/>
                <w:szCs w:val="20"/>
                <w:lang w:val="vi-VN"/>
              </w:rPr>
            </w:pPr>
            <w:r w:rsidRPr="00BE7FF6">
              <w:rPr>
                <w:rFonts w:ascii="Times New Roman" w:eastAsia="Times New Roman" w:hAnsi="Times New Roman" w:cs="Times New Roman"/>
                <w:sz w:val="20"/>
                <w:szCs w:val="20"/>
                <w:lang w:val="vi-VN"/>
              </w:rPr>
              <w:t xml:space="preserve">Ngày 15/6/2025, Chính phủ đã ban hành Nghị định số 153/2025/NĐ-CP sửa đổi, bổ sung một số điều của Nghị định số 72/2023/NĐ-CP ngày 26/9/2023 quy định tiêu chuẩn, định mức sử dụng xe ô tô và ngày 17/6/2025, Bộ Tài chính đã có </w:t>
            </w:r>
            <w:r>
              <w:rPr>
                <w:rFonts w:ascii="Times New Roman" w:eastAsia="Times New Roman" w:hAnsi="Times New Roman" w:cs="Times New Roman"/>
                <w:sz w:val="20"/>
                <w:szCs w:val="20"/>
                <w:lang w:val="vi-VN"/>
              </w:rPr>
              <w:t>c</w:t>
            </w:r>
            <w:r w:rsidRPr="00BE7FF6">
              <w:rPr>
                <w:rFonts w:ascii="Times New Roman" w:eastAsia="Times New Roman" w:hAnsi="Times New Roman" w:cs="Times New Roman"/>
                <w:sz w:val="20"/>
                <w:szCs w:val="20"/>
                <w:lang w:val="vi-VN"/>
              </w:rPr>
              <w:t>ông văn số 8516/BTC-QLCS gửi các Bộ, ngành, địa phương về việc triển khai thực hiện. Trong đó, đã quy định cụ thể cách xác định số lượng xe ô tô phục vụ công tác chung của các cơ quan, tổ chức, đơn vị của địa phương (trong đó cấp xã tối đa là 02 xe) và quy định: (1) Căn cứ tổng số lượng xe ô tô phục vụ công tác chung của cá cơ quan, tổ chức, đơn vị quy định tại các Điều 11, 11a, điểm a khoản 1 Điều 14 (trừ các đơn vị quy định tại khoản 5 Điều 8), UBND cấp tỉnh quyết định phân bổ số lượng xe ô tô phục vụ công tác chung từng xã (bao gồm Đảng ủy cấp xã). Số lượng xe sau khi được phân bổ là định mức về về số lượng sử dụng xe ô tô phục vụ công tác chung của từng cơ quan, tổ chức, đơn vị (trong đó có xã có thể ít hơn hoặc nhiều hơn 02 xe); (2) UBND cấp tỉnh quyết định hoặc phân cấp thẩm quyền quyết định phương thức quản lý xe; các phương thức quản lý xe của từng xã gồm: (i) Phương thức quản lý tập trung; (ii) Phương thức quản lý trực tiếp; (iii) Kết hợp các phương thức quản lý tập trung và quản lý phương thức quản lý trực tiếp) để phù hợp với thực tế của địa phương; do đó, việc quyết định phương thức quản lý xe của cấp xã do địa phương quyết định.</w:t>
            </w:r>
          </w:p>
        </w:tc>
      </w:tr>
      <w:tr w:rsidR="00F435AF" w:rsidRPr="00CB19B3" w14:paraId="71CA5A55" w14:textId="30E572AA" w:rsidTr="00982689">
        <w:trPr>
          <w:trHeight w:val="840"/>
        </w:trPr>
        <w:tc>
          <w:tcPr>
            <w:tcW w:w="720" w:type="dxa"/>
            <w:shd w:val="clear" w:color="auto" w:fill="auto"/>
            <w:noWrap/>
            <w:vAlign w:val="center"/>
            <w:hideMark/>
          </w:tcPr>
          <w:p w14:paraId="2C55DF40" w14:textId="652C4C5E"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lastRenderedPageBreak/>
              <w:t>7</w:t>
            </w:r>
          </w:p>
        </w:tc>
        <w:tc>
          <w:tcPr>
            <w:tcW w:w="1350" w:type="dxa"/>
            <w:shd w:val="clear" w:color="auto" w:fill="auto"/>
            <w:noWrap/>
            <w:vAlign w:val="center"/>
            <w:hideMark/>
          </w:tcPr>
          <w:p w14:paraId="75626F11" w14:textId="6FC84F68"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Lào Cai</w:t>
            </w:r>
          </w:p>
        </w:tc>
        <w:tc>
          <w:tcPr>
            <w:tcW w:w="6480" w:type="dxa"/>
            <w:shd w:val="clear" w:color="auto" w:fill="auto"/>
            <w:vAlign w:val="center"/>
            <w:hideMark/>
          </w:tcPr>
          <w:p w14:paraId="5C4BD0B1" w14:textId="3EE4D600"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 xml:space="preserve">Đề nghị Chính phủ sớm ban hành Nghị định quy định về quản lý, sử dụng tài sản công, thay thế </w:t>
            </w:r>
            <w:r>
              <w:rPr>
                <w:rFonts w:ascii="Times New Roman" w:eastAsia="Times New Roman" w:hAnsi="Times New Roman" w:cs="Times New Roman"/>
                <w:color w:val="000000"/>
                <w:kern w:val="0"/>
                <w:sz w:val="20"/>
                <w:szCs w:val="20"/>
                <w14:ligatures w14:val="none"/>
              </w:rPr>
              <w:t>Nghị</w:t>
            </w:r>
            <w:r>
              <w:rPr>
                <w:rFonts w:ascii="Times New Roman" w:eastAsia="Times New Roman" w:hAnsi="Times New Roman" w:cs="Times New Roman"/>
                <w:color w:val="000000"/>
                <w:kern w:val="0"/>
                <w:sz w:val="20"/>
                <w:szCs w:val="20"/>
                <w:lang w:val="vi-VN"/>
                <w14:ligatures w14:val="none"/>
              </w:rPr>
              <w:t xml:space="preserve"> định</w:t>
            </w:r>
            <w:r w:rsidRPr="00DD7D32">
              <w:rPr>
                <w:rFonts w:ascii="Times New Roman" w:eastAsia="Times New Roman" w:hAnsi="Times New Roman" w:cs="Times New Roman"/>
                <w:color w:val="000000"/>
                <w:kern w:val="0"/>
                <w:sz w:val="20"/>
                <w:szCs w:val="20"/>
                <w14:ligatures w14:val="none"/>
              </w:rPr>
              <w:t xml:space="preserve"> 151,</w:t>
            </w:r>
            <w:r>
              <w:rPr>
                <w:rFonts w:ascii="Times New Roman" w:eastAsia="Times New Roman" w:hAnsi="Times New Roman" w:cs="Times New Roman"/>
                <w:color w:val="000000"/>
                <w:kern w:val="0"/>
                <w:sz w:val="20"/>
                <w:szCs w:val="20"/>
                <w:lang w:val="vi-VN"/>
                <w14:ligatures w14:val="none"/>
              </w:rPr>
              <w:t xml:space="preserve"> </w:t>
            </w:r>
            <w:r w:rsidRPr="00DD7D32">
              <w:rPr>
                <w:rFonts w:ascii="Times New Roman" w:eastAsia="Times New Roman" w:hAnsi="Times New Roman" w:cs="Times New Roman"/>
                <w:color w:val="000000"/>
                <w:kern w:val="0"/>
                <w:sz w:val="20"/>
                <w:szCs w:val="20"/>
                <w14:ligatures w14:val="none"/>
              </w:rPr>
              <w:t xml:space="preserve">114, 50; các Nghị định về tài sản kết cấu hạ tầng, thiết chế văn hóa,… để các địa phương có cơ sở triển khai khi thực hiện mô hình chính quyền địa phương </w:t>
            </w:r>
            <w:r>
              <w:rPr>
                <w:rFonts w:ascii="Times New Roman" w:eastAsia="Times New Roman" w:hAnsi="Times New Roman" w:cs="Times New Roman"/>
                <w:color w:val="000000"/>
                <w:kern w:val="0"/>
                <w:sz w:val="20"/>
                <w:szCs w:val="20"/>
                <w:lang w:val="vi-VN"/>
                <w14:ligatures w14:val="none"/>
              </w:rPr>
              <w:t>02</w:t>
            </w:r>
            <w:r w:rsidRPr="00DD7D32">
              <w:rPr>
                <w:rFonts w:ascii="Times New Roman" w:eastAsia="Times New Roman" w:hAnsi="Times New Roman" w:cs="Times New Roman"/>
                <w:color w:val="000000"/>
                <w:kern w:val="0"/>
                <w:sz w:val="20"/>
                <w:szCs w:val="20"/>
                <w14:ligatures w14:val="none"/>
              </w:rPr>
              <w:t xml:space="preserve"> cấp.</w:t>
            </w:r>
          </w:p>
        </w:tc>
        <w:tc>
          <w:tcPr>
            <w:tcW w:w="7560" w:type="dxa"/>
            <w:vAlign w:val="center"/>
          </w:tcPr>
          <w:p w14:paraId="6D6CB26E" w14:textId="22A28FFC" w:rsidR="00F435AF" w:rsidRPr="00B748F0" w:rsidRDefault="00F435AF" w:rsidP="00F435AF">
            <w:pPr>
              <w:tabs>
                <w:tab w:val="left" w:pos="1180"/>
              </w:tabs>
              <w:spacing w:after="40" w:line="240" w:lineRule="auto"/>
              <w:jc w:val="both"/>
              <w:rPr>
                <w:rFonts w:ascii="Times New Roman" w:eastAsia="Times New Roman" w:hAnsi="Times New Roman" w:cs="Times New Roman"/>
                <w:sz w:val="20"/>
                <w:szCs w:val="20"/>
              </w:rPr>
            </w:pPr>
            <w:r w:rsidRPr="00B748F0">
              <w:rPr>
                <w:rFonts w:ascii="Times New Roman" w:eastAsia="Times New Roman" w:hAnsi="Times New Roman" w:cs="Times New Roman"/>
                <w:sz w:val="20"/>
                <w:szCs w:val="20"/>
              </w:rPr>
              <w:t>Để có cơ sở pháp lý trong quản lý, sử dụng tài sản công khi thực hiện mô hình chính quyền địa phương 02 cấp, Bộ Tài chính đã trình cấp có thẩm quyền và ban hanh theo thẩm quyền các Nghị định của Chính phủ, Quyết định của Thủ tướng Chính phủ, Thông tư của Bộ trưởng Bộ Tài chính (trong đó có Nghị định quy định chi tiết một số điều của Luật Quản lý, sử dụng tài sản công (thay thế Nghị định số 151/2017NĐ-CP, số 114/2024/NĐ-CP, số</w:t>
            </w:r>
            <w:r>
              <w:rPr>
                <w:rFonts w:ascii="Times New Roman" w:eastAsia="Times New Roman" w:hAnsi="Times New Roman" w:cs="Times New Roman"/>
                <w:sz w:val="20"/>
                <w:szCs w:val="20"/>
                <w:lang w:val="vi-VN"/>
              </w:rPr>
              <w:t xml:space="preserve"> </w:t>
            </w:r>
            <w:r w:rsidRPr="00B748F0">
              <w:rPr>
                <w:rFonts w:ascii="Times New Roman" w:eastAsia="Times New Roman" w:hAnsi="Times New Roman" w:cs="Times New Roman"/>
                <w:sz w:val="20"/>
                <w:szCs w:val="20"/>
              </w:rPr>
              <w:t>50/2025/NĐ-CP), Nghị định về quản lý, sử dụng và khai thác tài sản kết cấu hạ tầng)</w:t>
            </w:r>
          </w:p>
        </w:tc>
      </w:tr>
      <w:tr w:rsidR="00F435AF" w:rsidRPr="00636D4C" w14:paraId="043F84B0" w14:textId="7E061B85" w:rsidTr="00982689">
        <w:trPr>
          <w:trHeight w:val="560"/>
        </w:trPr>
        <w:tc>
          <w:tcPr>
            <w:tcW w:w="720" w:type="dxa"/>
            <w:shd w:val="clear" w:color="auto" w:fill="auto"/>
            <w:noWrap/>
            <w:vAlign w:val="center"/>
            <w:hideMark/>
          </w:tcPr>
          <w:p w14:paraId="7AF862A4" w14:textId="4C61AEAF"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8</w:t>
            </w:r>
          </w:p>
        </w:tc>
        <w:tc>
          <w:tcPr>
            <w:tcW w:w="1350" w:type="dxa"/>
            <w:shd w:val="clear" w:color="auto" w:fill="auto"/>
            <w:noWrap/>
            <w:vAlign w:val="center"/>
            <w:hideMark/>
          </w:tcPr>
          <w:p w14:paraId="25ED1FD8" w14:textId="6F31C009"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Lào Cai</w:t>
            </w:r>
          </w:p>
        </w:tc>
        <w:tc>
          <w:tcPr>
            <w:tcW w:w="6480" w:type="dxa"/>
            <w:shd w:val="clear" w:color="auto" w:fill="auto"/>
            <w:vAlign w:val="center"/>
            <w:hideMark/>
          </w:tcPr>
          <w:p w14:paraId="14EB7B76" w14:textId="58E5D558"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Kiến nghị Chính phủ chỉ đạo sớm ban hành danh sách các xã khu vực I, II, III thuộc vùng đồng bào dân tộc thiểu số và miền núi sau sáp nhập, làm cơ sở để triển khai các chính sách hỗ trợ hạ tầng số, đầu tư thiết bị, đào tạo nhân lực công nghệ thông tin tại cơ sở.</w:t>
            </w:r>
          </w:p>
        </w:tc>
        <w:tc>
          <w:tcPr>
            <w:tcW w:w="7560" w:type="dxa"/>
            <w:vAlign w:val="center"/>
          </w:tcPr>
          <w:p w14:paraId="4B5ABD5E" w14:textId="5C5160C6" w:rsidR="00F435AF" w:rsidRPr="000478D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0478DC">
              <w:rPr>
                <w:rFonts w:ascii="Times New Roman" w:eastAsia="Times New Roman" w:hAnsi="Times New Roman" w:cs="Times New Roman"/>
                <w:color w:val="000000"/>
                <w:kern w:val="0"/>
                <w:sz w:val="20"/>
                <w:szCs w:val="20"/>
                <w:lang w:val="vi-VN"/>
                <w14:ligatures w14:val="none"/>
              </w:rPr>
              <w:t>Nội dung kiến nghị liên quan đến xây dựng, trình ban hành danh sách các xã khu vực I, II, III thuộc vùng đồng bào dân tộc thiểu số và miền núi sau sáp nhập thuộc trách nhiệm của Bộ Dân tộc và Tôn giáo theo nhiệm vụ tại điểm d  khoản 4 Mục II Nghị quyết số 124/NQ-CP ngày 08/5/2025 của Chính phủ về phiên họp thường kỳ tháng 4 năm 2025. Do vậy, đề nghị</w:t>
            </w:r>
            <w:r>
              <w:rPr>
                <w:rFonts w:ascii="Times New Roman" w:eastAsia="Times New Roman" w:hAnsi="Times New Roman" w:cs="Times New Roman"/>
                <w:color w:val="000000"/>
                <w:kern w:val="0"/>
                <w:sz w:val="20"/>
                <w:szCs w:val="20"/>
                <w:lang w:val="vi-VN"/>
                <w14:ligatures w14:val="none"/>
              </w:rPr>
              <w:t xml:space="preserve"> tỉnh </w:t>
            </w:r>
            <w:r w:rsidRPr="00636D4C">
              <w:rPr>
                <w:rFonts w:ascii="Times New Roman" w:eastAsia="Times New Roman" w:hAnsi="Times New Roman" w:cs="Times New Roman"/>
                <w:color w:val="000000"/>
                <w:kern w:val="0"/>
                <w:sz w:val="20"/>
                <w:szCs w:val="20"/>
                <w:lang w:val="vi-VN"/>
                <w14:ligatures w14:val="none"/>
              </w:rPr>
              <w:t>phối hợp với</w:t>
            </w:r>
            <w:r>
              <w:rPr>
                <w:rFonts w:ascii="Times New Roman" w:eastAsia="Times New Roman" w:hAnsi="Times New Roman" w:cs="Times New Roman"/>
                <w:color w:val="000000"/>
                <w:kern w:val="0"/>
                <w:sz w:val="20"/>
                <w:szCs w:val="20"/>
                <w:lang w:val="vi-VN"/>
                <w14:ligatures w14:val="none"/>
              </w:rPr>
              <w:t xml:space="preserve"> Bộ Dân tộc và Tôn giáo </w:t>
            </w:r>
            <w:r w:rsidRPr="00636D4C">
              <w:rPr>
                <w:rFonts w:ascii="Times New Roman" w:eastAsia="Times New Roman" w:hAnsi="Times New Roman" w:cs="Times New Roman"/>
                <w:color w:val="000000"/>
                <w:kern w:val="0"/>
                <w:sz w:val="20"/>
                <w:szCs w:val="20"/>
                <w:lang w:val="vi-VN"/>
                <w14:ligatures w14:val="none"/>
              </w:rPr>
              <w:t xml:space="preserve">để có hướng dẫn cụ thể </w:t>
            </w:r>
            <w:r>
              <w:rPr>
                <w:rFonts w:ascii="Times New Roman" w:eastAsia="Times New Roman" w:hAnsi="Times New Roman" w:cs="Times New Roman"/>
                <w:color w:val="000000"/>
                <w:kern w:val="0"/>
                <w:sz w:val="20"/>
                <w:szCs w:val="20"/>
                <w:lang w:val="vi-VN"/>
                <w14:ligatures w14:val="none"/>
              </w:rPr>
              <w:t>đối với nội dung này.</w:t>
            </w:r>
          </w:p>
        </w:tc>
      </w:tr>
      <w:tr w:rsidR="00F435AF" w:rsidRPr="00CB19B3" w14:paraId="20EE05BC" w14:textId="731FA952" w:rsidTr="00982689">
        <w:trPr>
          <w:trHeight w:val="3352"/>
        </w:trPr>
        <w:tc>
          <w:tcPr>
            <w:tcW w:w="720" w:type="dxa"/>
            <w:shd w:val="clear" w:color="auto" w:fill="auto"/>
            <w:noWrap/>
            <w:vAlign w:val="center"/>
            <w:hideMark/>
          </w:tcPr>
          <w:p w14:paraId="13D1FC8D" w14:textId="2DE37233"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9</w:t>
            </w:r>
          </w:p>
        </w:tc>
        <w:tc>
          <w:tcPr>
            <w:tcW w:w="1350" w:type="dxa"/>
            <w:shd w:val="clear" w:color="auto" w:fill="auto"/>
            <w:noWrap/>
            <w:vAlign w:val="center"/>
            <w:hideMark/>
          </w:tcPr>
          <w:p w14:paraId="79D271EE" w14:textId="04ADCB0E"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Lào Cai</w:t>
            </w:r>
          </w:p>
        </w:tc>
        <w:tc>
          <w:tcPr>
            <w:tcW w:w="6480" w:type="dxa"/>
            <w:shd w:val="clear" w:color="auto" w:fill="auto"/>
            <w:vAlign w:val="center"/>
            <w:hideMark/>
          </w:tcPr>
          <w:p w14:paraId="1969A6F5" w14:textId="3210F985"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Thực hiện chủ trương sắp xếp lại đơn vị hành chính cấp xã, tỉnh Lào Cai đã  quyết liệt chỉ đạo, xây dựng phương án sắp xếp đảm bảo bộ máy mới hoạt động từ ngày 01/7/2025 theo quy định. Tỉnh Lào Cai là tỉnh nhận bổ sung cân đối từ ngân sách Trung ương (khoảng 60-70% tổng chi ngân sách), thuộc đối tượng hỗ trợ từ dự phòng ngân sách trung ương để thực hiện các nhiệm vụ sắp xếp đơn vị hành chính cấp xã. Đồng thời, nguồn thu của tỉnh hạn chế, khả năng cân đối ngân sách để thực hiện các nhiệm vụ lớn phát sinh còn rất khó khăn.  Bên cạnh đó, năm 2025 dự kiến ngân sách địa phương  cần cân đối nguồn lực để thực hiện kịp  thời các nhiệm vụ  như: Tổ chức Đại hội Đảng  bộ các cấp nhiệm kỳ 2025-2030, kinh phí thực hiện sắp xếp đơn vị hành chính do ngân sách địa phương bảo đảm từ chi thường xuyên theo phân cấp…; nguồn dự phòng ngân sách tỉnh  dự kiến đảm bảo các nhiệm vụ cấp bách phát sinh như: phòng chống, khắc phục hậu quả thiên tai trên địa bàn… Do vậy, ngân sách địa phương không đảm bảo  đủ nguồn để  cân đối bố trí kinh phí thực hiện các nhiệm vụ trong quá trình sắp xếp  đơn vị hành hành cấp xã,</w:t>
            </w:r>
            <w:r>
              <w:rPr>
                <w:rFonts w:ascii="Times New Roman" w:eastAsia="Times New Roman" w:hAnsi="Times New Roman" w:cs="Times New Roman"/>
                <w:color w:val="000000"/>
                <w:kern w:val="0"/>
                <w:sz w:val="20"/>
                <w:szCs w:val="20"/>
                <w14:ligatures w14:val="none"/>
              </w:rPr>
              <w:t xml:space="preserve"> </w:t>
            </w:r>
            <w:r w:rsidRPr="00DD7D32">
              <w:rPr>
                <w:rFonts w:ascii="Times New Roman" w:eastAsia="Times New Roman" w:hAnsi="Times New Roman" w:cs="Times New Roman"/>
                <w:color w:val="000000"/>
                <w:kern w:val="0"/>
                <w:sz w:val="20"/>
                <w:szCs w:val="20"/>
                <w14:ligatures w14:val="none"/>
              </w:rPr>
              <w:t>tổ chức chính quyền địa phương hai cấp. Thực hiện  Công điện số 95/CĐ-TTg ngày 22/6/2025 của Chính phủ, để đảm bảo nguồn lực triển khai thực hiện các nhiệm vụ về sắp xếp  đơn vị hành chính cấp xã, xây dựng chính quyền địa phương hai cấp; Công điện, UBND tỉnh Lào Cai kính trình Bộ Tài chính tổng hợp, trình cấp có thẩm quyền xem xét cấp bổ sung dự toán chi ngân sách nhà nước năm 2025 cho tỉnh thực hiện các nhiệm vụ nêu trên với tổng số tiền là 600 tỷ đồng.</w:t>
            </w:r>
          </w:p>
        </w:tc>
        <w:tc>
          <w:tcPr>
            <w:tcW w:w="7560" w:type="dxa"/>
            <w:vAlign w:val="center"/>
          </w:tcPr>
          <w:p w14:paraId="20AF9764" w14:textId="3269CE66" w:rsidR="00F435AF" w:rsidRPr="001604BC" w:rsidRDefault="00F435AF" w:rsidP="00F435AF">
            <w:pPr>
              <w:tabs>
                <w:tab w:val="left" w:pos="2042"/>
              </w:tabs>
              <w:spacing w:after="40" w:line="240" w:lineRule="auto"/>
              <w:jc w:val="both"/>
              <w:rPr>
                <w:rFonts w:ascii="Times New Roman" w:eastAsia="Times New Roman" w:hAnsi="Times New Roman" w:cs="Times New Roman"/>
                <w:sz w:val="20"/>
                <w:szCs w:val="20"/>
              </w:rPr>
            </w:pPr>
            <w:r w:rsidRPr="001604BC">
              <w:rPr>
                <w:rFonts w:ascii="Times New Roman" w:eastAsia="Times New Roman" w:hAnsi="Times New Roman" w:cs="Times New Roman"/>
                <w:sz w:val="20"/>
                <w:szCs w:val="20"/>
              </w:rPr>
              <w:t>Đề nghị địa phương căn cứ Công điện số 95/CĐ-TTg ngày 22/6/2025 của Thủ tướng Chính phủ về việc đảm bảo cơ sở, vật chất cho các cơ quan, tổ chức đơn vị của Nhà nước khi thực hiện sắp xếp, tinh gọn bộ máy, sắp xếp ĐVHC xây dựng mô hình CQĐP 02 cấp để triển khai thực hiện. Trường hợp khó khăn về nguồn kinh phí thì đề nghị các địa phương rà soát, báo cáo theo đúng chỉ đạo của Thủ tướng Chính phủ tại Công điện số 95/CĐ-TTg. Trước mắt, đề nghị Tỉnh sử dụng nguồn NSTW đã bổ sung (Quyết định số 1353/QĐ-TTg ngày 25/6/2025 của Thủ tướng Chính phủ về việc bổ sung có mục tiêu từ ngân sách trung ương cho các địa phương để hỗ trợ kinh phí sắp xếp đơn vị hành chính cấp tỉnh, cấp xã), chủ động sử dụng nguồn NSĐP và các nguồn tài chính hợp pháp khác để thực hiện.</w:t>
            </w:r>
          </w:p>
        </w:tc>
      </w:tr>
      <w:tr w:rsidR="00F435AF" w:rsidRPr="00636D4C" w14:paraId="3BA21280" w14:textId="0B4FA0B0" w:rsidTr="00982689">
        <w:trPr>
          <w:trHeight w:val="840"/>
        </w:trPr>
        <w:tc>
          <w:tcPr>
            <w:tcW w:w="720" w:type="dxa"/>
            <w:shd w:val="clear" w:color="auto" w:fill="auto"/>
            <w:noWrap/>
            <w:vAlign w:val="center"/>
            <w:hideMark/>
          </w:tcPr>
          <w:p w14:paraId="665EC4B4" w14:textId="7853659E"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lastRenderedPageBreak/>
              <w:t>10</w:t>
            </w:r>
          </w:p>
        </w:tc>
        <w:tc>
          <w:tcPr>
            <w:tcW w:w="1350" w:type="dxa"/>
            <w:shd w:val="clear" w:color="auto" w:fill="auto"/>
            <w:noWrap/>
            <w:vAlign w:val="center"/>
            <w:hideMark/>
          </w:tcPr>
          <w:p w14:paraId="5CAD0B33" w14:textId="6AEFAE2B"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Lào Cai</w:t>
            </w:r>
          </w:p>
        </w:tc>
        <w:tc>
          <w:tcPr>
            <w:tcW w:w="6480" w:type="dxa"/>
            <w:shd w:val="clear" w:color="auto" w:fill="auto"/>
            <w:vAlign w:val="center"/>
            <w:hideMark/>
          </w:tcPr>
          <w:p w14:paraId="75938D40" w14:textId="43784870"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 xml:space="preserve">Sớm hoàn thiện, công bố danh mục </w:t>
            </w:r>
            <w:r>
              <w:rPr>
                <w:rFonts w:ascii="Times New Roman" w:eastAsia="Times New Roman" w:hAnsi="Times New Roman" w:cs="Times New Roman"/>
                <w:color w:val="000000"/>
                <w:kern w:val="0"/>
                <w:sz w:val="20"/>
                <w:szCs w:val="20"/>
                <w14:ligatures w14:val="none"/>
              </w:rPr>
              <w:t>thủ</w:t>
            </w:r>
            <w:r>
              <w:rPr>
                <w:rFonts w:ascii="Times New Roman" w:eastAsia="Times New Roman" w:hAnsi="Times New Roman" w:cs="Times New Roman"/>
                <w:color w:val="000000"/>
                <w:kern w:val="0"/>
                <w:sz w:val="20"/>
                <w:szCs w:val="20"/>
                <w:lang w:val="vi-VN"/>
                <w14:ligatures w14:val="none"/>
              </w:rPr>
              <w:t xml:space="preserve"> tục hành chính (TTHC)</w:t>
            </w:r>
            <w:r w:rsidRPr="00DD7D32">
              <w:rPr>
                <w:rFonts w:ascii="Times New Roman" w:eastAsia="Times New Roman" w:hAnsi="Times New Roman" w:cs="Times New Roman"/>
                <w:color w:val="000000"/>
                <w:kern w:val="0"/>
                <w:sz w:val="20"/>
                <w:szCs w:val="20"/>
                <w14:ligatures w14:val="none"/>
              </w:rPr>
              <w:t xml:space="preserve"> đủ điều kiện thực hiện dịch vụ công trực tuyến toàn trình và một phần theo mô hình chính quyền địa phương hai cấp, phân định rõ thẩm quyền xử lý nhằm hỗ trợ địa phương cập nhật, đồng bộ hóa dữ liệu kịp thời trên Cổng Dịch </w:t>
            </w:r>
            <w:r>
              <w:rPr>
                <w:rFonts w:ascii="Times New Roman" w:eastAsia="Times New Roman" w:hAnsi="Times New Roman" w:cs="Times New Roman"/>
                <w:color w:val="000000"/>
                <w:kern w:val="0"/>
                <w:sz w:val="20"/>
                <w:szCs w:val="20"/>
                <w14:ligatures w14:val="none"/>
              </w:rPr>
              <w:t>vụ</w:t>
            </w:r>
            <w:r w:rsidRPr="00DD7D32">
              <w:rPr>
                <w:rFonts w:ascii="Times New Roman" w:eastAsia="Times New Roman" w:hAnsi="Times New Roman" w:cs="Times New Roman"/>
                <w:color w:val="000000"/>
                <w:kern w:val="0"/>
                <w:sz w:val="20"/>
                <w:szCs w:val="20"/>
                <w14:ligatures w14:val="none"/>
              </w:rPr>
              <w:t xml:space="preserve"> công Quốc gia.</w:t>
            </w:r>
          </w:p>
        </w:tc>
        <w:tc>
          <w:tcPr>
            <w:tcW w:w="7560" w:type="dxa"/>
            <w:vAlign w:val="center"/>
          </w:tcPr>
          <w:p w14:paraId="1070549A" w14:textId="50412E05" w:rsidR="00F435AF" w:rsidRPr="00BA067B" w:rsidRDefault="00F435AF" w:rsidP="00F435AF">
            <w:pPr>
              <w:tabs>
                <w:tab w:val="left" w:pos="1770"/>
              </w:tabs>
              <w:spacing w:after="40" w:line="240" w:lineRule="auto"/>
              <w:jc w:val="both"/>
              <w:rPr>
                <w:rFonts w:ascii="Times New Roman" w:eastAsia="Times New Roman" w:hAnsi="Times New Roman" w:cs="Times New Roman"/>
                <w:spacing w:val="-2"/>
                <w:sz w:val="20"/>
                <w:szCs w:val="20"/>
                <w:lang w:val="vi-VN"/>
              </w:rPr>
            </w:pPr>
            <w:r w:rsidRPr="00BA067B">
              <w:rPr>
                <w:rFonts w:ascii="Times New Roman" w:eastAsia="Times New Roman" w:hAnsi="Times New Roman" w:cs="Times New Roman"/>
                <w:spacing w:val="-2"/>
                <w:sz w:val="20"/>
                <w:szCs w:val="20"/>
                <w:lang w:val="vi-VN"/>
              </w:rPr>
              <w:t>Về triển khai cung cấp dịch vụ công trực tuyến (DVCTT): Bộ Tài chính đã triển khai cung cấp 468 DVCTT toàn trình (chiếm 49%), 123 DVCTT một phần (chiếm 12,8%) và 431 dịch vụ cung cấp thông tin cho tổ chức, cá nhân. Các DVCTT toàn trình và 431 dịch vụ cung cấp thông tin khác sử dụng bằng tài khoản VneID đối với các cá nhân qua Cổng DVC quốc gia.</w:t>
            </w:r>
          </w:p>
          <w:p w14:paraId="406A6353" w14:textId="77777777" w:rsidR="00F435AF" w:rsidRPr="00BA067B" w:rsidRDefault="00F435AF" w:rsidP="00F435AF">
            <w:pPr>
              <w:tabs>
                <w:tab w:val="left" w:pos="1770"/>
              </w:tabs>
              <w:spacing w:after="40" w:line="240" w:lineRule="auto"/>
              <w:jc w:val="both"/>
              <w:rPr>
                <w:rFonts w:ascii="Times New Roman" w:eastAsia="Times New Roman" w:hAnsi="Times New Roman" w:cs="Times New Roman"/>
                <w:spacing w:val="-2"/>
                <w:sz w:val="20"/>
                <w:szCs w:val="20"/>
                <w:lang w:val="vi-VN"/>
              </w:rPr>
            </w:pPr>
            <w:r w:rsidRPr="00BA067B">
              <w:rPr>
                <w:rFonts w:ascii="Times New Roman" w:eastAsia="Times New Roman" w:hAnsi="Times New Roman" w:cs="Times New Roman"/>
                <w:spacing w:val="-2"/>
                <w:sz w:val="20"/>
                <w:szCs w:val="20"/>
                <w:lang w:val="vi-VN"/>
              </w:rPr>
              <w:t>Bộ Tài chính đã phối hợp với các bộ, ngành, đơn vị, doanh nghiệp cung cấp dịch vụ đảm bảo tuyệt đối an ninh, an toàn cho hệ thống dịch vụ công và hệ thống điều hành của bộ vận hành thông suốt, không gián đoạn.</w:t>
            </w:r>
          </w:p>
          <w:p w14:paraId="4C7136A7" w14:textId="42D11224" w:rsidR="00F435AF" w:rsidRPr="00BA067B" w:rsidRDefault="00F435AF" w:rsidP="00F435AF">
            <w:pPr>
              <w:tabs>
                <w:tab w:val="left" w:pos="1770"/>
              </w:tabs>
              <w:spacing w:after="40" w:line="240" w:lineRule="auto"/>
              <w:jc w:val="both"/>
              <w:rPr>
                <w:rFonts w:ascii="Times New Roman" w:eastAsia="Times New Roman" w:hAnsi="Times New Roman" w:cs="Times New Roman"/>
                <w:spacing w:val="-2"/>
                <w:sz w:val="20"/>
                <w:szCs w:val="20"/>
                <w:lang w:val="vi-VN"/>
              </w:rPr>
            </w:pPr>
            <w:r w:rsidRPr="00BA067B">
              <w:rPr>
                <w:rFonts w:ascii="Times New Roman" w:eastAsia="Times New Roman" w:hAnsi="Times New Roman" w:cs="Times New Roman"/>
                <w:spacing w:val="-2"/>
                <w:sz w:val="20"/>
                <w:szCs w:val="20"/>
                <w:lang w:val="vi-VN"/>
              </w:rPr>
              <w:t>Bộ Tài chính đã hoàn thành tái cấu trúc quy trình TTHC trên cơ sở tái sử dụng dữ liệu khi thực hiện mô hình chính quyền địa phương 02 cấp đối với 17 dịch vụ công trực tuyến toàn trình ưu tiên trước 01/7/2025.</w:t>
            </w:r>
          </w:p>
          <w:p w14:paraId="2E4A73CB" w14:textId="77777777" w:rsidR="00F435AF" w:rsidRPr="00BA067B" w:rsidRDefault="00F435AF" w:rsidP="00F435AF">
            <w:pPr>
              <w:tabs>
                <w:tab w:val="left" w:pos="1770"/>
              </w:tabs>
              <w:spacing w:after="40" w:line="240" w:lineRule="auto"/>
              <w:jc w:val="both"/>
              <w:rPr>
                <w:rFonts w:ascii="Times New Roman" w:eastAsia="Times New Roman" w:hAnsi="Times New Roman" w:cs="Times New Roman"/>
                <w:spacing w:val="-2"/>
                <w:sz w:val="20"/>
                <w:szCs w:val="20"/>
                <w:lang w:val="vi-VN"/>
              </w:rPr>
            </w:pPr>
            <w:r w:rsidRPr="00BA067B">
              <w:rPr>
                <w:rFonts w:ascii="Times New Roman" w:eastAsia="Times New Roman" w:hAnsi="Times New Roman" w:cs="Times New Roman"/>
                <w:spacing w:val="-2"/>
                <w:sz w:val="20"/>
                <w:szCs w:val="20"/>
                <w:lang w:val="vi-VN"/>
              </w:rPr>
              <w:t>Đối với các dịch vụ công trực tuyến còn lại dự kiến hoàn thành trong năm 2025 đảm bảo 100% TTHC liên quan đến doanh nghiệp được thực hiện trực tuyến thông suốt, liền mạch, hiệu quả; hoàn thành thực hiện TTHC không phụ thuộc vào địa giới hành chính trong phạm vi cấp tỉnh.</w:t>
            </w:r>
          </w:p>
          <w:p w14:paraId="08D42CC0" w14:textId="110513C9" w:rsidR="00F435AF" w:rsidRPr="00BA067B" w:rsidRDefault="00F435AF" w:rsidP="00F435AF">
            <w:pPr>
              <w:tabs>
                <w:tab w:val="left" w:pos="1770"/>
              </w:tabs>
              <w:spacing w:after="40" w:line="240" w:lineRule="auto"/>
              <w:jc w:val="both"/>
              <w:rPr>
                <w:rFonts w:ascii="Times New Roman" w:eastAsia="Times New Roman" w:hAnsi="Times New Roman" w:cs="Times New Roman"/>
                <w:spacing w:val="-2"/>
                <w:sz w:val="20"/>
                <w:szCs w:val="20"/>
                <w:lang w:val="vi-VN"/>
              </w:rPr>
            </w:pPr>
            <w:r w:rsidRPr="00BA067B">
              <w:rPr>
                <w:rFonts w:ascii="Times New Roman" w:eastAsia="Times New Roman" w:hAnsi="Times New Roman" w:cs="Times New Roman"/>
                <w:spacing w:val="-2"/>
                <w:sz w:val="20"/>
                <w:szCs w:val="20"/>
                <w:lang w:val="vi-VN"/>
              </w:rPr>
              <w:t>Bộ Tài chính đang thực hiện triển khai cung cấp dịch vụ công trực tuyến trên 09 Hệ thống như sau: Lĩnh vực thuế (https://thuedientu.gdt.gov.vn); Lĩnh vực hải quan (https://www.customs.gov.vn); Lĩnh vực kho bạc (https://dvc.vst.mof.gov.vn); Lĩnh vực chứng khoán (https://dichvucong.ssc.gov.vn); Lĩnh vực phát triển doanh nghiệp tư nhân và kinh tế tập thể (https://dangkykinhdoanh.gov.vn); Lĩnh vực đầu thầu (https://muasamcong.mpi.gov.vn, https://chungchidauthau.mof.gov.vn); Lĩnh vực đầu tư ra nước ngoài (https://fdi.gov.vn); Lĩnh vực bảo hiểm xã hội (https://dichvucong.baohiemxahoi.gov.vn); Lĩnh vực tài chính khác (https://dichvucong.mof.gov.vn).</w:t>
            </w:r>
          </w:p>
        </w:tc>
      </w:tr>
      <w:tr w:rsidR="00F435AF" w:rsidRPr="00636D4C" w14:paraId="68B4ABD0" w14:textId="4EC566B0" w:rsidTr="00982689">
        <w:trPr>
          <w:trHeight w:val="1120"/>
        </w:trPr>
        <w:tc>
          <w:tcPr>
            <w:tcW w:w="720" w:type="dxa"/>
            <w:shd w:val="clear" w:color="auto" w:fill="auto"/>
            <w:noWrap/>
            <w:vAlign w:val="center"/>
            <w:hideMark/>
          </w:tcPr>
          <w:p w14:paraId="53AC896C" w14:textId="4D52E129"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11</w:t>
            </w:r>
          </w:p>
        </w:tc>
        <w:tc>
          <w:tcPr>
            <w:tcW w:w="1350" w:type="dxa"/>
            <w:shd w:val="clear" w:color="auto" w:fill="auto"/>
            <w:noWrap/>
            <w:vAlign w:val="center"/>
            <w:hideMark/>
          </w:tcPr>
          <w:p w14:paraId="1D20D4AB" w14:textId="01A2C982"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Lào Cai</w:t>
            </w:r>
          </w:p>
        </w:tc>
        <w:tc>
          <w:tcPr>
            <w:tcW w:w="6480" w:type="dxa"/>
            <w:shd w:val="clear" w:color="auto" w:fill="auto"/>
            <w:vAlign w:val="center"/>
            <w:hideMark/>
          </w:tcPr>
          <w:p w14:paraId="0F8B7532" w14:textId="0C320339"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Triển khai các nền tảng số dùng chung nhằm bảo đảm thống nhất trong tổ chức thực hiện, kết nối, chia sẻ dữ liệu và tiết kiệm chi phí đầu tư hạ tầng, ứng dụng công nghệ thông tin. Trong đó, ưu tiên triển khai các nền tảng đã được Bộ Khoa học và Công nghệ xác định là nền tảng số quốc gia phục vụ chuyển đổi số, đồng thời bảo đảm khả năng tích hợp, kết nối, chia sẻ với các hệ thống thông tin, cơ sở dữ liệu dùng chung của quốc gia và địa phương.</w:t>
            </w:r>
          </w:p>
        </w:tc>
        <w:tc>
          <w:tcPr>
            <w:tcW w:w="7560" w:type="dxa"/>
            <w:vAlign w:val="center"/>
          </w:tcPr>
          <w:p w14:paraId="06015CD6" w14:textId="018DB10E"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Trên cơ sở đề nghị của Bộ Tài chính, Bộ Khoa học công nghệ đã ban hành Quyết định số 1527/QĐ-BKHCH ngày 29/6/2025 về việc ban hành Danh mục và kế hoạch triển khai các nền tảng số quốc gia, nền tảng số dùng chung của ngành, lĩnh vực, vùng. Trong đó, Bộ Tài chính là đơn vị chủ quản của 10 nền tảng dùng chu</w:t>
            </w:r>
            <w:r w:rsidRPr="003211FC">
              <w:rPr>
                <w:rFonts w:ascii="Times New Roman" w:eastAsia="Times New Roman" w:hAnsi="Times New Roman" w:cs="Times New Roman"/>
                <w:color w:val="000000"/>
                <w:kern w:val="0"/>
                <w:sz w:val="20"/>
                <w:szCs w:val="20"/>
                <w:lang w:val="vi-VN"/>
                <w14:ligatures w14:val="none"/>
              </w:rPr>
              <w:t>ng</w:t>
            </w:r>
            <w:r w:rsidRPr="00636D4C">
              <w:rPr>
                <w:rFonts w:ascii="Times New Roman" w:eastAsia="Times New Roman" w:hAnsi="Times New Roman" w:cs="Times New Roman"/>
                <w:color w:val="000000"/>
                <w:kern w:val="0"/>
                <w:sz w:val="20"/>
                <w:szCs w:val="20"/>
                <w:lang w:val="vi-VN"/>
                <w14:ligatures w14:val="none"/>
              </w:rPr>
              <w:t xml:space="preserve"> quốc gia và ngành, lĩnh vực. Triển khai Quyết định số 1527/QĐ-BKHC, </w:t>
            </w:r>
            <w:r w:rsidRPr="003211FC">
              <w:rPr>
                <w:rFonts w:ascii="Times New Roman" w:eastAsia="Times New Roman" w:hAnsi="Times New Roman" w:cs="Times New Roman"/>
                <w:color w:val="000000"/>
                <w:kern w:val="0"/>
                <w:sz w:val="20"/>
                <w:szCs w:val="20"/>
                <w:lang w:val="vi-VN"/>
                <w14:ligatures w14:val="none"/>
              </w:rPr>
              <w:t>Bộ Tài chính (</w:t>
            </w:r>
            <w:r w:rsidRPr="00636D4C">
              <w:rPr>
                <w:rFonts w:ascii="Times New Roman" w:eastAsia="Times New Roman" w:hAnsi="Times New Roman" w:cs="Times New Roman"/>
                <w:color w:val="000000"/>
                <w:kern w:val="0"/>
                <w:sz w:val="20"/>
                <w:szCs w:val="20"/>
                <w:lang w:val="vi-VN"/>
                <w14:ligatures w14:val="none"/>
              </w:rPr>
              <w:t>Cục CNTT</w:t>
            </w:r>
            <w:r w:rsidRPr="003211FC">
              <w:rPr>
                <w:rFonts w:ascii="Times New Roman" w:eastAsia="Times New Roman" w:hAnsi="Times New Roman" w:cs="Times New Roman"/>
                <w:color w:val="000000"/>
                <w:kern w:val="0"/>
                <w:sz w:val="20"/>
                <w:szCs w:val="20"/>
                <w:lang w:val="vi-VN"/>
                <w14:ligatures w14:val="none"/>
              </w:rPr>
              <w:t>)</w:t>
            </w:r>
            <w:r w:rsidRPr="00636D4C">
              <w:rPr>
                <w:rFonts w:ascii="Times New Roman" w:eastAsia="Times New Roman" w:hAnsi="Times New Roman" w:cs="Times New Roman"/>
                <w:color w:val="000000"/>
                <w:kern w:val="0"/>
                <w:sz w:val="20"/>
                <w:szCs w:val="20"/>
                <w:lang w:val="vi-VN"/>
                <w14:ligatures w14:val="none"/>
              </w:rPr>
              <w:t xml:space="preserve"> đang xây dựng kế hoạch triển khai, báo cáo tình hình triển khai các nền tảng đã được phân công.</w:t>
            </w:r>
          </w:p>
        </w:tc>
      </w:tr>
      <w:tr w:rsidR="00F435AF" w:rsidRPr="00636D4C" w14:paraId="3F166495" w14:textId="7D532A9F" w:rsidTr="00982689">
        <w:trPr>
          <w:trHeight w:val="1120"/>
        </w:trPr>
        <w:tc>
          <w:tcPr>
            <w:tcW w:w="720" w:type="dxa"/>
            <w:shd w:val="clear" w:color="auto" w:fill="auto"/>
            <w:noWrap/>
            <w:vAlign w:val="center"/>
            <w:hideMark/>
          </w:tcPr>
          <w:p w14:paraId="763039AE" w14:textId="07F5CCD8"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12</w:t>
            </w:r>
          </w:p>
        </w:tc>
        <w:tc>
          <w:tcPr>
            <w:tcW w:w="1350" w:type="dxa"/>
            <w:shd w:val="clear" w:color="auto" w:fill="auto"/>
            <w:noWrap/>
            <w:vAlign w:val="center"/>
            <w:hideMark/>
          </w:tcPr>
          <w:p w14:paraId="3321B05D" w14:textId="2288F1DF"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Lào Cai</w:t>
            </w:r>
          </w:p>
        </w:tc>
        <w:tc>
          <w:tcPr>
            <w:tcW w:w="6480" w:type="dxa"/>
            <w:shd w:val="clear" w:color="auto" w:fill="auto"/>
            <w:vAlign w:val="center"/>
            <w:hideMark/>
          </w:tcPr>
          <w:p w14:paraId="2E77A5B2" w14:textId="45E0175D"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Kiến nghị Ban Cơ yếu Chính phủ hỗ trợ các đơn vị về các dịch vụ chứng thực chứng thư chữ ký số chuyên dùng công vụ nhằm đảm bảo tính kịp thời, chủ động và ổn định cho các cơ quan, đơn vị, địa phương tiến hành triển khai sử dụng chữ ký số không bị gián đoạn trước 1/7/2025. Đặc biệt đối với các dịch vụ cấp mới chứng thư chữ ký số chuyên dùng công vụ, gia hạn và thay đổi thông tin chữ ký số chuyên dùng công vụ, khôi phục thiết bị sao cho kịp tiến độ hoàn thành trước 1/7/2025.</w:t>
            </w:r>
          </w:p>
        </w:tc>
        <w:tc>
          <w:tcPr>
            <w:tcW w:w="7560" w:type="dxa"/>
            <w:vAlign w:val="center"/>
          </w:tcPr>
          <w:p w14:paraId="7A970E65" w14:textId="233A5224" w:rsidR="00F435AF" w:rsidRPr="00DD7683" w:rsidRDefault="00F435AF" w:rsidP="00F435AF">
            <w:pPr>
              <w:tabs>
                <w:tab w:val="left" w:pos="1818"/>
              </w:tabs>
              <w:spacing w:after="40" w:line="240" w:lineRule="auto"/>
              <w:jc w:val="both"/>
              <w:rPr>
                <w:rFonts w:ascii="Times New Roman" w:eastAsia="Times New Roman" w:hAnsi="Times New Roman" w:cs="Times New Roman"/>
                <w:sz w:val="20"/>
                <w:szCs w:val="20"/>
                <w:lang w:val="vi-VN"/>
              </w:rPr>
            </w:pPr>
            <w:r w:rsidRPr="007260B1">
              <w:rPr>
                <w:rFonts w:ascii="Times New Roman" w:eastAsia="Times New Roman" w:hAnsi="Times New Roman" w:cs="Times New Roman"/>
                <w:sz w:val="20"/>
                <w:szCs w:val="20"/>
                <w:lang w:val="vi-VN"/>
              </w:rPr>
              <w:t xml:space="preserve">Ngày 27/6/2025, Ban Cơ yếu Chính phủ đã có văn bản 393/BCY-CTSBMTT hướng dẫn việc cập nhật thông tin </w:t>
            </w:r>
            <w:r>
              <w:rPr>
                <w:rFonts w:ascii="Times New Roman" w:eastAsia="Times New Roman" w:hAnsi="Times New Roman" w:cs="Times New Roman"/>
                <w:sz w:val="20"/>
                <w:szCs w:val="20"/>
                <w:lang w:val="vi-VN"/>
              </w:rPr>
              <w:t>chữ ký số</w:t>
            </w:r>
            <w:r w:rsidRPr="007260B1">
              <w:rPr>
                <w:rFonts w:ascii="Times New Roman" w:eastAsia="Times New Roman" w:hAnsi="Times New Roman" w:cs="Times New Roman"/>
                <w:sz w:val="20"/>
                <w:szCs w:val="20"/>
                <w:lang w:val="vi-VN"/>
              </w:rPr>
              <w:t xml:space="preserve"> trong quá trình sắp xếp, tổ chức bộ máy theo mô hình mới kể từ ngày 01/7/2025</w:t>
            </w:r>
            <w:r>
              <w:rPr>
                <w:rFonts w:ascii="Times New Roman" w:eastAsia="Times New Roman" w:hAnsi="Times New Roman" w:cs="Times New Roman"/>
                <w:sz w:val="20"/>
                <w:szCs w:val="20"/>
                <w:lang w:val="vi-VN"/>
              </w:rPr>
              <w:t>. Bộ Tài chính sẽ tiến hành rà soát và thực hiện các thủ tục cấp phát, cập nhật đầy đủ trên hệ thống dịch vụ công của Ban Cơ yếu Chính phủ theo hướng dẫn.</w:t>
            </w:r>
          </w:p>
        </w:tc>
      </w:tr>
      <w:tr w:rsidR="00F435AF" w:rsidRPr="00CB19B3" w14:paraId="2323C705" w14:textId="1010239E" w:rsidTr="00982689">
        <w:trPr>
          <w:trHeight w:val="1120"/>
        </w:trPr>
        <w:tc>
          <w:tcPr>
            <w:tcW w:w="720" w:type="dxa"/>
            <w:shd w:val="clear" w:color="auto" w:fill="auto"/>
            <w:vAlign w:val="center"/>
            <w:hideMark/>
          </w:tcPr>
          <w:p w14:paraId="440EBBD4" w14:textId="1602F659"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13</w:t>
            </w:r>
          </w:p>
        </w:tc>
        <w:tc>
          <w:tcPr>
            <w:tcW w:w="1350" w:type="dxa"/>
            <w:shd w:val="clear" w:color="auto" w:fill="auto"/>
            <w:vAlign w:val="center"/>
            <w:hideMark/>
          </w:tcPr>
          <w:p w14:paraId="04488158"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Thái Nguyên</w:t>
            </w:r>
          </w:p>
        </w:tc>
        <w:tc>
          <w:tcPr>
            <w:tcW w:w="6480" w:type="dxa"/>
            <w:shd w:val="clear" w:color="auto" w:fill="auto"/>
            <w:vAlign w:val="center"/>
            <w:hideMark/>
          </w:tcPr>
          <w:p w14:paraId="6C96D1D3" w14:textId="6B22C0B1"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Thực hiện công điện số 95/CĐ-TTg ngày 22/6/2025 của Thủ tướng Chính phủ, đề nghị Trung ương hỗ trợ 198 tỷ đồng, để đảm bảo trụ sở làm việc, máy móc, thiết bị, hạ tầng dữ liệu công nghệ thông tin, chuyển đổi số,... đáp ứng nhu cầu công tác, không làm chậm trễ, gián đoạn công việc, ảnh hưởng đến tổ chức hoạt động của cơ quan, đơn vị khi chính thức đi vào vận hành theo mô hình chính quyền địa phương 02 cấp</w:t>
            </w:r>
          </w:p>
        </w:tc>
        <w:tc>
          <w:tcPr>
            <w:tcW w:w="7560" w:type="dxa"/>
            <w:vAlign w:val="center"/>
          </w:tcPr>
          <w:p w14:paraId="56331FAA" w14:textId="5DC349BC" w:rsidR="00F435AF" w:rsidRPr="00B52A97" w:rsidRDefault="00F435AF" w:rsidP="00F435AF">
            <w:pPr>
              <w:spacing w:after="40" w:line="240" w:lineRule="auto"/>
              <w:jc w:val="both"/>
              <w:rPr>
                <w:rFonts w:ascii="Times New Roman" w:eastAsia="Times New Roman" w:hAnsi="Times New Roman" w:cs="Times New Roman"/>
                <w:sz w:val="20"/>
                <w:szCs w:val="20"/>
              </w:rPr>
            </w:pPr>
            <w:r w:rsidRPr="00B52A97">
              <w:rPr>
                <w:rFonts w:ascii="Times New Roman" w:eastAsia="Times New Roman" w:hAnsi="Times New Roman" w:cs="Times New Roman"/>
                <w:sz w:val="20"/>
                <w:szCs w:val="20"/>
              </w:rPr>
              <w:t>Bộ Tài chính đã có văn bản số 9027/BTC-NSNN trả lời UBND Tỉnh Thái Nguyên</w:t>
            </w:r>
            <w:r>
              <w:rPr>
                <w:rFonts w:ascii="Times New Roman" w:eastAsia="Times New Roman" w:hAnsi="Times New Roman" w:cs="Times New Roman"/>
                <w:sz w:val="20"/>
                <w:szCs w:val="20"/>
              </w:rPr>
              <w:t xml:space="preserve"> (theo đề nghị tại</w:t>
            </w:r>
            <w:r w:rsidRPr="00B52A97">
              <w:rPr>
                <w:rFonts w:ascii="Times New Roman" w:eastAsia="Times New Roman" w:hAnsi="Times New Roman" w:cs="Times New Roman"/>
                <w:sz w:val="20"/>
                <w:szCs w:val="20"/>
              </w:rPr>
              <w:t xml:space="preserve"> văn bản số 3923/STC-THQH&amp;QLNS ngày 23/6/2025</w:t>
            </w:r>
            <w:r>
              <w:rPr>
                <w:rFonts w:ascii="Times New Roman" w:eastAsia="Times New Roman" w:hAnsi="Times New Roman" w:cs="Times New Roman"/>
                <w:sz w:val="20"/>
                <w:szCs w:val="20"/>
              </w:rPr>
              <w:t xml:space="preserve">) </w:t>
            </w:r>
            <w:r w:rsidRPr="00B52A97">
              <w:rPr>
                <w:rFonts w:ascii="Times New Roman" w:eastAsia="Times New Roman" w:hAnsi="Times New Roman" w:cs="Times New Roman"/>
                <w:sz w:val="20"/>
                <w:szCs w:val="20"/>
              </w:rPr>
              <w:t>theo hướng đề nghị Tỉnh có báo cáo cụ thể theo đúng chỉ đạo của Thủ tướng Chính phủ tại Công điện số 95/CĐ-TTg. Vì vậy, đề nghị Tỉnh căn cứ văn bản nêu trên để thực hiện</w:t>
            </w:r>
          </w:p>
        </w:tc>
      </w:tr>
      <w:tr w:rsidR="00F435AF" w:rsidRPr="00636D4C" w14:paraId="4F86B249" w14:textId="0252B09A" w:rsidTr="00982689">
        <w:trPr>
          <w:trHeight w:val="790"/>
        </w:trPr>
        <w:tc>
          <w:tcPr>
            <w:tcW w:w="720" w:type="dxa"/>
            <w:shd w:val="clear" w:color="auto" w:fill="auto"/>
            <w:vAlign w:val="center"/>
            <w:hideMark/>
          </w:tcPr>
          <w:p w14:paraId="2E96BCF2" w14:textId="55666529"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14:ligatures w14:val="none"/>
              </w:rPr>
            </w:pPr>
            <w:r w:rsidRPr="003077F6">
              <w:rPr>
                <w:rFonts w:ascii="Times New Roman" w:hAnsi="Times New Roman" w:cs="Times New Roman"/>
                <w:sz w:val="20"/>
                <w:szCs w:val="20"/>
              </w:rPr>
              <w:t>14</w:t>
            </w:r>
          </w:p>
        </w:tc>
        <w:tc>
          <w:tcPr>
            <w:tcW w:w="1350" w:type="dxa"/>
            <w:shd w:val="clear" w:color="auto" w:fill="auto"/>
            <w:vAlign w:val="center"/>
            <w:hideMark/>
          </w:tcPr>
          <w:p w14:paraId="67DB573E"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Thái Nguyên</w:t>
            </w:r>
          </w:p>
        </w:tc>
        <w:tc>
          <w:tcPr>
            <w:tcW w:w="6480" w:type="dxa"/>
            <w:shd w:val="clear" w:color="auto" w:fill="auto"/>
            <w:vAlign w:val="center"/>
            <w:hideMark/>
          </w:tcPr>
          <w:p w14:paraId="64AEE2BA" w14:textId="2F47447B" w:rsidR="00F435AF" w:rsidRPr="00DD7D32" w:rsidRDefault="00F435AF" w:rsidP="00F435AF">
            <w:pPr>
              <w:spacing w:after="24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Đề nghị Bộ Tài chính quan tâm trả lời kiến nghị của tỉnh Thái Nguyên theo văn bản số 3671/STC-THQH&amp;QLNS ngày 17/6/2025 về việc đề nghị hướng dẫn về thẩm quyền, quy trình, thủ tục tiếp nhận, điều chỉnh kế hoạch đầu tư công trung hạn giai đoạn 2021- 2025, khi sáp nhập tỉnh và thực hiện chính quyền địa phương 02 cấp</w:t>
            </w:r>
          </w:p>
        </w:tc>
        <w:tc>
          <w:tcPr>
            <w:tcW w:w="7560" w:type="dxa"/>
            <w:vAlign w:val="center"/>
          </w:tcPr>
          <w:p w14:paraId="14FB9A02" w14:textId="77777777" w:rsidR="00F435AF" w:rsidRDefault="00F435AF" w:rsidP="00F435AF">
            <w:pPr>
              <w:tabs>
                <w:tab w:val="left" w:pos="1145"/>
              </w:tabs>
              <w:spacing w:after="40" w:line="240" w:lineRule="auto"/>
              <w:jc w:val="both"/>
              <w:rPr>
                <w:rFonts w:ascii="Times New Roman" w:eastAsia="Times New Roman" w:hAnsi="Times New Roman" w:cs="Times New Roman"/>
                <w:sz w:val="20"/>
                <w:szCs w:val="20"/>
                <w:lang w:val="vi-VN"/>
              </w:rPr>
            </w:pPr>
            <w:r w:rsidRPr="00AF44A6">
              <w:rPr>
                <w:rFonts w:ascii="Times New Roman" w:eastAsia="Times New Roman" w:hAnsi="Times New Roman" w:cs="Times New Roman"/>
                <w:sz w:val="20"/>
                <w:szCs w:val="20"/>
                <w:lang w:val="vi-VN"/>
              </w:rPr>
              <w:t xml:space="preserve">1. Về tiếp nhận kế hoạch đầu tư công của các tỉnh, xã, phường trước khi sáp nhập: </w:t>
            </w:r>
          </w:p>
          <w:p w14:paraId="52C9EE96" w14:textId="77777777" w:rsidR="00F435AF" w:rsidRDefault="00F435AF" w:rsidP="00F435AF">
            <w:pPr>
              <w:tabs>
                <w:tab w:val="left" w:pos="1145"/>
              </w:tabs>
              <w:spacing w:after="40" w:line="240" w:lineRule="auto"/>
              <w:jc w:val="both"/>
              <w:rPr>
                <w:rFonts w:ascii="Times New Roman" w:eastAsia="Times New Roman" w:hAnsi="Times New Roman" w:cs="Times New Roman"/>
                <w:sz w:val="20"/>
                <w:szCs w:val="20"/>
                <w:lang w:val="vi-VN"/>
              </w:rPr>
            </w:pPr>
            <w:r>
              <w:rPr>
                <w:rFonts w:ascii="Times New Roman" w:eastAsia="Times New Roman" w:hAnsi="Times New Roman" w:cs="Times New Roman"/>
                <w:sz w:val="20"/>
                <w:szCs w:val="20"/>
                <w:lang w:val="vi-VN"/>
              </w:rPr>
              <w:t xml:space="preserve">- </w:t>
            </w:r>
            <w:r w:rsidRPr="00AF44A6">
              <w:rPr>
                <w:rFonts w:ascii="Times New Roman" w:eastAsia="Times New Roman" w:hAnsi="Times New Roman" w:cs="Times New Roman"/>
                <w:sz w:val="20"/>
                <w:szCs w:val="20"/>
                <w:lang w:val="vi-VN"/>
              </w:rPr>
              <w:t xml:space="preserve">Điểm a khoản 4 Điều 7 Nghị định số 125/2025/NĐ-CP ngày 11/6/2025 của Chính phủ về phân định thẩm quyền của chính quyền địa phương 02 cấp trong lĩnh vực quản lý nhà nước của Bộ Tài chính quy định: “…tỉnh, thành phố trực thuộc trung ương sau khi sắp xếp tiếp nhận toàn bộ kế hoạch đầu tư công của các tỉnh, thành phố trực thuộc trung ương trước khi sắp xếp”. </w:t>
            </w:r>
          </w:p>
          <w:p w14:paraId="02CF12C5" w14:textId="77777777" w:rsidR="00F435AF" w:rsidRDefault="00F435AF" w:rsidP="00F435AF">
            <w:pPr>
              <w:tabs>
                <w:tab w:val="left" w:pos="1145"/>
              </w:tabs>
              <w:spacing w:after="40" w:line="240" w:lineRule="auto"/>
              <w:jc w:val="both"/>
              <w:rPr>
                <w:rFonts w:ascii="Times New Roman" w:eastAsia="Times New Roman" w:hAnsi="Times New Roman" w:cs="Times New Roman"/>
                <w:sz w:val="20"/>
                <w:szCs w:val="20"/>
                <w:lang w:val="vi-VN"/>
              </w:rPr>
            </w:pPr>
            <w:r>
              <w:rPr>
                <w:rFonts w:ascii="Times New Roman" w:eastAsia="Times New Roman" w:hAnsi="Times New Roman" w:cs="Times New Roman"/>
                <w:sz w:val="20"/>
                <w:szCs w:val="20"/>
                <w:lang w:val="vi-VN"/>
              </w:rPr>
              <w:t xml:space="preserve">- </w:t>
            </w:r>
            <w:r w:rsidRPr="00AF44A6">
              <w:rPr>
                <w:rFonts w:ascii="Times New Roman" w:eastAsia="Times New Roman" w:hAnsi="Times New Roman" w:cs="Times New Roman"/>
                <w:sz w:val="20"/>
                <w:szCs w:val="20"/>
                <w:lang w:val="vi-VN"/>
              </w:rPr>
              <w:t>Điểm c, khoản 4 Điều 7 Nghị định số 125/2025/NĐ-CP ngày 11/6/2025 của Chính phủ quy định: “… Ủy ban nhân dân cấp xã sau khi sắp xếp thực hiện tiếp nhận toàn bộ kế hoạch đầu tư công trung hạn và hằng năm của các xã trước khi sắp xếp; trường hợp phân chia địa giới xã trước khi sắp xếp về nhiều xã khác nhau sau khi sắp xếp dẫn đến không xác định được Ủy ban nhân dân cấp xã tiếp nhận kế hoạch đầu tư công trung hạn và hằng năm, Ủy ban nhân dân cấp tỉnh quyết định giao Ủy ban nhân dân cấp xã tiếp nhận kế hoạch đầu tư công trung hạn và hằng năm của xã trước khi sắp xếp.”</w:t>
            </w:r>
          </w:p>
          <w:p w14:paraId="6D0C0BE2" w14:textId="77777777" w:rsidR="00F435AF" w:rsidRDefault="00F435AF" w:rsidP="00F435AF">
            <w:pPr>
              <w:tabs>
                <w:tab w:val="left" w:pos="1145"/>
              </w:tabs>
              <w:spacing w:after="40" w:line="240" w:lineRule="auto"/>
              <w:jc w:val="both"/>
              <w:rPr>
                <w:rFonts w:ascii="Times New Roman" w:eastAsia="Times New Roman" w:hAnsi="Times New Roman" w:cs="Times New Roman"/>
                <w:sz w:val="20"/>
                <w:szCs w:val="20"/>
                <w:lang w:val="vi-VN"/>
              </w:rPr>
            </w:pPr>
            <w:r w:rsidRPr="00AF44A6">
              <w:rPr>
                <w:rFonts w:ascii="Times New Roman" w:eastAsia="Times New Roman" w:hAnsi="Times New Roman" w:cs="Times New Roman"/>
                <w:sz w:val="20"/>
                <w:szCs w:val="20"/>
                <w:lang w:val="vi-VN"/>
              </w:rPr>
              <w:t xml:space="preserve">Căn cứ các quy định nêu trên, UBND cấp tỉnh và UBND cấp xã tiếp nhận toàn bộ kế hoạch đầu tư công của các tỉnh, thành phố trực thuộc trung ương, UBND cấp xã tương ứng trước khi sắp xếp; </w:t>
            </w:r>
          </w:p>
          <w:p w14:paraId="4F23252F" w14:textId="49C4FCF6" w:rsidR="00F435AF" w:rsidRDefault="00F435AF" w:rsidP="00F435AF">
            <w:pPr>
              <w:tabs>
                <w:tab w:val="left" w:pos="1145"/>
              </w:tabs>
              <w:spacing w:after="40" w:line="240" w:lineRule="auto"/>
              <w:jc w:val="both"/>
              <w:rPr>
                <w:rFonts w:ascii="Times New Roman" w:eastAsia="Times New Roman" w:hAnsi="Times New Roman" w:cs="Times New Roman"/>
                <w:sz w:val="20"/>
                <w:szCs w:val="20"/>
                <w:lang w:val="vi-VN"/>
              </w:rPr>
            </w:pPr>
            <w:r>
              <w:rPr>
                <w:rFonts w:ascii="Times New Roman" w:eastAsia="Times New Roman" w:hAnsi="Times New Roman" w:cs="Times New Roman"/>
                <w:sz w:val="20"/>
                <w:szCs w:val="20"/>
                <w:lang w:val="vi-VN"/>
              </w:rPr>
              <w:t>2.</w:t>
            </w:r>
            <w:r w:rsidRPr="00AF44A6">
              <w:rPr>
                <w:rFonts w:ascii="Times New Roman" w:eastAsia="Times New Roman" w:hAnsi="Times New Roman" w:cs="Times New Roman"/>
                <w:sz w:val="20"/>
                <w:szCs w:val="20"/>
                <w:lang w:val="vi-VN"/>
              </w:rPr>
              <w:t xml:space="preserve"> Về thẩm quyền, trình tự thực hiện điều chỉnh, kế hoạch đầu tư công trung hạn và hằng năm (bao gồm cả kế hoạch được tiếp nhận):</w:t>
            </w:r>
          </w:p>
          <w:p w14:paraId="2F9C37FC" w14:textId="77777777" w:rsidR="00F435AF" w:rsidRDefault="00F435AF" w:rsidP="00F435AF">
            <w:pPr>
              <w:tabs>
                <w:tab w:val="left" w:pos="1145"/>
              </w:tabs>
              <w:spacing w:after="40" w:line="240" w:lineRule="auto"/>
              <w:jc w:val="both"/>
              <w:rPr>
                <w:rFonts w:ascii="Times New Roman" w:eastAsia="Times New Roman" w:hAnsi="Times New Roman" w:cs="Times New Roman"/>
                <w:sz w:val="20"/>
                <w:szCs w:val="20"/>
                <w:lang w:val="vi-VN"/>
              </w:rPr>
            </w:pPr>
            <w:r w:rsidRPr="00AF44A6">
              <w:rPr>
                <w:rFonts w:ascii="Times New Roman" w:eastAsia="Times New Roman" w:hAnsi="Times New Roman" w:cs="Times New Roman"/>
                <w:sz w:val="20"/>
                <w:szCs w:val="20"/>
                <w:lang w:val="vi-VN"/>
              </w:rPr>
              <w:t xml:space="preserve">Nội dung này đã được quy định tại Luật Đầu tư công và Nghị định hướng dẫn thi hành tương ứng với từng nguồn vốn đầu tư công (vốn ngân sách trung ương, vốn ngân sách địa phương và vốn hợp pháp khác). </w:t>
            </w:r>
          </w:p>
          <w:p w14:paraId="4111B864" w14:textId="77777777" w:rsidR="00F435AF" w:rsidRDefault="00F435AF" w:rsidP="00F435AF">
            <w:pPr>
              <w:tabs>
                <w:tab w:val="left" w:pos="1145"/>
              </w:tabs>
              <w:spacing w:after="40" w:line="240" w:lineRule="auto"/>
              <w:jc w:val="both"/>
              <w:rPr>
                <w:rFonts w:ascii="Times New Roman" w:eastAsia="Times New Roman" w:hAnsi="Times New Roman" w:cs="Times New Roman"/>
                <w:sz w:val="20"/>
                <w:szCs w:val="20"/>
                <w:lang w:val="vi-VN"/>
              </w:rPr>
            </w:pPr>
            <w:r w:rsidRPr="00AF44A6">
              <w:rPr>
                <w:rFonts w:ascii="Times New Roman" w:eastAsia="Times New Roman" w:hAnsi="Times New Roman" w:cs="Times New Roman"/>
                <w:sz w:val="20"/>
                <w:szCs w:val="20"/>
                <w:lang w:val="vi-VN"/>
              </w:rPr>
              <w:t xml:space="preserve">Do đó, đề nghị tỉnh Thái Nguyên triển khai thực hiện theo quy định của pháp luật về đầu tư công; </w:t>
            </w:r>
          </w:p>
          <w:p w14:paraId="2DF76F12" w14:textId="77777777" w:rsidR="00F435AF" w:rsidRDefault="00F435AF" w:rsidP="00F435AF">
            <w:pPr>
              <w:tabs>
                <w:tab w:val="left" w:pos="1145"/>
              </w:tabs>
              <w:spacing w:after="40" w:line="240" w:lineRule="auto"/>
              <w:jc w:val="both"/>
              <w:rPr>
                <w:rFonts w:ascii="Times New Roman" w:eastAsia="Times New Roman" w:hAnsi="Times New Roman" w:cs="Times New Roman"/>
                <w:sz w:val="20"/>
                <w:szCs w:val="20"/>
                <w:lang w:val="vi-VN"/>
              </w:rPr>
            </w:pPr>
            <w:r>
              <w:rPr>
                <w:rFonts w:ascii="Times New Roman" w:eastAsia="Times New Roman" w:hAnsi="Times New Roman" w:cs="Times New Roman"/>
                <w:sz w:val="20"/>
                <w:szCs w:val="20"/>
                <w:lang w:val="vi-VN"/>
              </w:rPr>
              <w:t>3.</w:t>
            </w:r>
            <w:r w:rsidRPr="00AF44A6">
              <w:rPr>
                <w:rFonts w:ascii="Times New Roman" w:eastAsia="Times New Roman" w:hAnsi="Times New Roman" w:cs="Times New Roman"/>
                <w:sz w:val="20"/>
                <w:szCs w:val="20"/>
                <w:lang w:val="vi-VN"/>
              </w:rPr>
              <w:t xml:space="preserve"> Về văn bản hướng dẫn của Bộ Tài chính có thể coi là căn cứ pháp lý để tổ chức thực hiện: </w:t>
            </w:r>
          </w:p>
          <w:p w14:paraId="394DB061" w14:textId="7DC948B6" w:rsidR="00F435AF" w:rsidRPr="00AF44A6" w:rsidRDefault="00F435AF" w:rsidP="00F435AF">
            <w:pPr>
              <w:tabs>
                <w:tab w:val="left" w:pos="1145"/>
              </w:tabs>
              <w:spacing w:after="40" w:line="240" w:lineRule="auto"/>
              <w:jc w:val="both"/>
              <w:rPr>
                <w:rFonts w:ascii="Times New Roman" w:eastAsia="Times New Roman" w:hAnsi="Times New Roman" w:cs="Times New Roman"/>
                <w:sz w:val="20"/>
                <w:szCs w:val="20"/>
                <w:lang w:val="vi-VN"/>
              </w:rPr>
            </w:pPr>
            <w:r w:rsidRPr="00AF44A6">
              <w:rPr>
                <w:rFonts w:ascii="Times New Roman" w:eastAsia="Times New Roman" w:hAnsi="Times New Roman" w:cs="Times New Roman"/>
                <w:sz w:val="20"/>
                <w:szCs w:val="20"/>
                <w:lang w:val="vi-VN"/>
              </w:rPr>
              <w:t xml:space="preserve">Điểm 3 Mục II văn bản số 447/KH-CP ngày 17/5/2025 của Chính phủ về kế hoạch xây dựng các nghị định phân cấp, phân quyền, phân định thẩm quyền gắn với việc thực hiện mô hình tổ chức chính quyền địa phương 02 cấp quy định: “Loại bỏ các quy định, thủ tục, quy trình địa phương phải báo cáo, xin ý kiến Chính phủ, cơ quan Chính phủ về các dự án, nhiệm vụ </w:t>
            </w:r>
            <w:r w:rsidRPr="00AF44A6">
              <w:rPr>
                <w:rFonts w:ascii="Times New Roman" w:eastAsia="Times New Roman" w:hAnsi="Times New Roman" w:cs="Times New Roman"/>
                <w:sz w:val="20"/>
                <w:szCs w:val="20"/>
                <w:lang w:val="vi-VN"/>
              </w:rPr>
              <w:lastRenderedPageBreak/>
              <w:t>cụ thể đã được phân cấp, phân quyền. Ý kiến hướng dẫn về dự án, nhiệm vụ cụ thể của các Bộ chỉ là tài liệu tham khảo. Các địa phương căn cứ quy định pháp luật để chủ động thực hiện nhiệm vụ đã được phân công”. Các nội dung văn bản của Bộ Tài chính thống nhất với quy định của các văn bản quy phạm pháp luật hiện hành, do đó đề nghị tỉnh Thái Nguyên căn cứ quy định của pháp luật để tổ chức thực hiện.</w:t>
            </w:r>
          </w:p>
        </w:tc>
      </w:tr>
      <w:tr w:rsidR="00F435AF" w:rsidRPr="00636D4C" w14:paraId="7000D0A1" w14:textId="74744810" w:rsidTr="00982689">
        <w:trPr>
          <w:trHeight w:val="560"/>
        </w:trPr>
        <w:tc>
          <w:tcPr>
            <w:tcW w:w="720" w:type="dxa"/>
            <w:shd w:val="clear" w:color="auto" w:fill="auto"/>
            <w:vAlign w:val="center"/>
            <w:hideMark/>
          </w:tcPr>
          <w:p w14:paraId="7D72801E" w14:textId="448887A8"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15</w:t>
            </w:r>
          </w:p>
        </w:tc>
        <w:tc>
          <w:tcPr>
            <w:tcW w:w="1350" w:type="dxa"/>
            <w:shd w:val="clear" w:color="auto" w:fill="auto"/>
            <w:vAlign w:val="center"/>
            <w:hideMark/>
          </w:tcPr>
          <w:p w14:paraId="2CAA0ACB"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Thái Nguyên</w:t>
            </w:r>
          </w:p>
        </w:tc>
        <w:tc>
          <w:tcPr>
            <w:tcW w:w="6480" w:type="dxa"/>
            <w:shd w:val="clear" w:color="auto" w:fill="auto"/>
            <w:vAlign w:val="center"/>
            <w:hideMark/>
          </w:tcPr>
          <w:p w14:paraId="126CC605" w14:textId="6E51BD72"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 xml:space="preserve">Đề nghị Bộ Tài chính quan tâm trả lời kiến nghị của tỉnh Thái Nguyên theo văn bản số 3416/STC-QLGDN ngày 11/6/2025 đề nghị hướng dẫn việc chuyển giao quyền đại diện chủ sở hữu vốn nhà nước tại </w:t>
            </w:r>
            <w:r w:rsidRPr="00BC3F34">
              <w:rPr>
                <w:rFonts w:ascii="Times New Roman" w:eastAsia="Times New Roman" w:hAnsi="Times New Roman" w:cs="Times New Roman"/>
                <w:color w:val="000000"/>
                <w:kern w:val="0"/>
                <w:sz w:val="20"/>
                <w:szCs w:val="20"/>
                <w14:ligatures w14:val="none"/>
              </w:rPr>
              <w:t>doanh</w:t>
            </w:r>
            <w:r w:rsidRPr="00BC3F34">
              <w:rPr>
                <w:rFonts w:ascii="Times New Roman" w:eastAsia="Times New Roman" w:hAnsi="Times New Roman" w:cs="Times New Roman"/>
                <w:color w:val="000000"/>
                <w:kern w:val="0"/>
                <w:sz w:val="20"/>
                <w:szCs w:val="20"/>
                <w:lang w:val="vi-VN"/>
                <w14:ligatures w14:val="none"/>
              </w:rPr>
              <w:t xml:space="preserve"> nghiệp</w:t>
            </w:r>
            <w:r w:rsidRPr="00DD7D32">
              <w:rPr>
                <w:rFonts w:ascii="Times New Roman" w:eastAsia="Times New Roman" w:hAnsi="Times New Roman" w:cs="Times New Roman"/>
                <w:color w:val="000000"/>
                <w:kern w:val="0"/>
                <w:sz w:val="20"/>
                <w:szCs w:val="20"/>
                <w14:ligatures w14:val="none"/>
              </w:rPr>
              <w:t xml:space="preserve"> khi thực hiện sắp xếp đơn vị hành chính cấp tỉnh.</w:t>
            </w:r>
          </w:p>
        </w:tc>
        <w:tc>
          <w:tcPr>
            <w:tcW w:w="7560" w:type="dxa"/>
            <w:vAlign w:val="center"/>
          </w:tcPr>
          <w:p w14:paraId="7E7B4C8B" w14:textId="5F131E3A" w:rsidR="00F435AF" w:rsidRPr="00750745"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750745">
              <w:rPr>
                <w:rFonts w:ascii="Times New Roman" w:eastAsia="Times New Roman" w:hAnsi="Times New Roman" w:cs="Times New Roman"/>
                <w:color w:val="000000"/>
                <w:kern w:val="0"/>
                <w:sz w:val="20"/>
                <w:szCs w:val="20"/>
                <w:lang w:val="vi-VN"/>
                <w14:ligatures w14:val="none"/>
              </w:rPr>
              <w:t>1. Tại khoản 1 và khoản 5 Điều 4 Nghị quyết số 190/2025/QH15 ngày 19/02/2025 của Quốc hội quy định về xử lý một số vấn đề liên quan đến sắp xếp tổ chức bộ máy nhà nước quy định: (i) “Khi thực hiện sắp xếp tổ chức bộ máy nhà nước, chức năng, nhiệm vụ, quyền hạn của cơ quan, chức danh có thẩm quyền theo quy định của pháp luật được tiếp tục thực hiện bởi cơ quan, chức danh tiếp nhận chức năng, nhiệm vụ, quyền hạn đó”; (ii) “Cơ quan tiếp nhận chức năng, nhiệm vụ, quyền hạn sau khi sắp xếp tổ chức bộ máy nhà nước tiếp tục thực hiện các công việc, thủ tục đang được các cơ quan thuộc đối tượng thực hiện sắp xếp thực hiện. Trường hợp các công việc, thủ tục đang thực hiện hoặc đã hoàn thành trước khi sắp xếp tổ chức bộ máy nhà nước nhưng phát sinh vấn đề liên quan cần giải quyết sau khi sắp xếp thì cơ quan tiếp nhận chức năng, nhiệm vụ, quyền hạn có trách nhiệm phối hợp với cơ quan liên quan để giải quyết vấn đề phát sinh đó”.</w:t>
            </w:r>
          </w:p>
          <w:p w14:paraId="5B347797" w14:textId="77777777" w:rsidR="00F435AF" w:rsidRPr="00750745"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750745">
              <w:rPr>
                <w:rFonts w:ascii="Times New Roman" w:eastAsia="Times New Roman" w:hAnsi="Times New Roman" w:cs="Times New Roman"/>
                <w:color w:val="000000"/>
                <w:kern w:val="0"/>
                <w:sz w:val="20"/>
                <w:szCs w:val="20"/>
                <w:lang w:val="vi-VN"/>
                <w14:ligatures w14:val="none"/>
              </w:rPr>
              <w:t>2. Tại khoản 3 Điều 2 Nghị quyết số 202/2025/QH15 ngày 12/6/2025 của Quốc hội quy định: “Chính quyền địa phương ở các tỉnh, thành phố trước sắp xếp tiếp tục hoạt động cho đến khi chính quyền địa phương ở tỉnh, thành phố hình thành sau sắp xếp chính thức hoạt động (01/7/2025)”.</w:t>
            </w:r>
          </w:p>
          <w:p w14:paraId="2BFD81F4" w14:textId="7EA35773" w:rsidR="00F435AF" w:rsidRPr="00750745"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750745">
              <w:rPr>
                <w:rFonts w:ascii="Times New Roman" w:eastAsia="Times New Roman" w:hAnsi="Times New Roman" w:cs="Times New Roman"/>
                <w:color w:val="000000"/>
                <w:kern w:val="0"/>
                <w:sz w:val="20"/>
                <w:szCs w:val="20"/>
                <w:lang w:val="vi-VN"/>
                <w14:ligatures w14:val="none"/>
              </w:rPr>
              <w:t>Căn cứ nội dung nêu trên, Bộ Tài chính đề nghị Sở Tài chính tỉnh Thái Nguyên, Sở Tài chính thành phố Hải Phòng báo cáo Ủy ban nhân dân tỉnh Thái Nguyên (sau sắp xếp) và Ủy ban nhân dân thành phố Hải Phòng (sau sắp xếp) thực hiện theo Nghị quyết số 190/2025/QH15 ngày 19/02/2025 của Quốc hội và Nghị quyết số 202/2025/QH15 ngày 12/6/2025 của Quốc hội nêu trên. Theo đó, Ủy ban nhân dân tỉnh Thái Nguyên (mới) và Ủy ban nhân dân thành phố Hải Phòng (mới) kế thừa toàn bộ quyền, trách nhiệm của cơ quan đại diện chủ sở hữu đối với doanh nghiệp nhà nước nắm giữ 100% vốn điều lệ và phần vốn nhà nước đầu tư tại công ty cổ phần, công ty TNHH hai thành viên trở lên do UBND tỉnh Bắc Kạn, UBND tỉnh Hải Dương (đơn vị hành chính cấp tỉnh trước sắp xếp là cơ quan đại diện chủ sở hữu để triển khai thực hiện từ ngày 01/7/2025.</w:t>
            </w:r>
          </w:p>
        </w:tc>
      </w:tr>
      <w:tr w:rsidR="00F435AF" w:rsidRPr="00636D4C" w14:paraId="77D500BB" w14:textId="376F3619" w:rsidTr="00982689">
        <w:trPr>
          <w:trHeight w:val="1120"/>
        </w:trPr>
        <w:tc>
          <w:tcPr>
            <w:tcW w:w="720" w:type="dxa"/>
            <w:shd w:val="clear" w:color="auto" w:fill="auto"/>
            <w:vAlign w:val="center"/>
            <w:hideMark/>
          </w:tcPr>
          <w:p w14:paraId="6A5096C3" w14:textId="723518DE"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16</w:t>
            </w:r>
          </w:p>
        </w:tc>
        <w:tc>
          <w:tcPr>
            <w:tcW w:w="1350" w:type="dxa"/>
            <w:shd w:val="clear" w:color="auto" w:fill="auto"/>
            <w:vAlign w:val="center"/>
            <w:hideMark/>
          </w:tcPr>
          <w:p w14:paraId="30B4B4CC"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Thái Nguyên</w:t>
            </w:r>
          </w:p>
        </w:tc>
        <w:tc>
          <w:tcPr>
            <w:tcW w:w="6480" w:type="dxa"/>
            <w:shd w:val="clear" w:color="auto" w:fill="auto"/>
            <w:vAlign w:val="center"/>
            <w:hideMark/>
          </w:tcPr>
          <w:p w14:paraId="1F88B68D" w14:textId="76A7F898"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 xml:space="preserve">Đề nghị Bộ Tài chính hỗ trợ, xem xét hướng dẫn cụ thể phương án và cách thức thực hiện việc chuyển đổi dữ liệu của hộ kinh doanh, hướng dẫn cách thức xây dựng dự toán và bố trí nguồn vốn, kinh phí để thực hiện Kế hoạch chuyển đổi dữ liệu của hộ kinh doanh (bao gồm hỗ trợ cơ quan Thuế trong công tác tuyên truyền và cấp Mã số thuế; thuê đơn vị, cá nhân thực hiện nội dung chuyển đổi </w:t>
            </w:r>
            <w:r w:rsidRPr="00DD7D32">
              <w:rPr>
                <w:rFonts w:ascii="Times New Roman" w:eastAsia="Times New Roman" w:hAnsi="Times New Roman" w:cs="Times New Roman"/>
                <w:color w:val="000000"/>
                <w:kern w:val="0"/>
                <w:sz w:val="20"/>
                <w:szCs w:val="20"/>
                <w14:ligatures w14:val="none"/>
              </w:rPr>
              <w:lastRenderedPageBreak/>
              <w:t>(nếu được)...) khi cơ quan đăng ký kinh doanh cấp xã đi vào hoạt động đảm bảo đúng quy định.</w:t>
            </w:r>
          </w:p>
        </w:tc>
        <w:tc>
          <w:tcPr>
            <w:tcW w:w="7560" w:type="dxa"/>
            <w:vAlign w:val="center"/>
          </w:tcPr>
          <w:p w14:paraId="1D7B993B" w14:textId="77777777"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AF43BD">
              <w:rPr>
                <w:rFonts w:ascii="Times New Roman" w:eastAsia="Times New Roman" w:hAnsi="Times New Roman" w:cs="Times New Roman"/>
                <w:color w:val="000000"/>
                <w:kern w:val="0"/>
                <w:sz w:val="20"/>
                <w:szCs w:val="20"/>
                <w:lang w:val="vi-VN"/>
                <w14:ligatures w14:val="none"/>
              </w:rPr>
              <w:lastRenderedPageBreak/>
              <w:t>Về cách thức thực hiện việc chuyển đổi dữ liệu của hộ kinh doanh:</w:t>
            </w:r>
          </w:p>
          <w:p w14:paraId="407B295C" w14:textId="74E8AE82" w:rsidR="00F435AF" w:rsidRPr="00AF43BD"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AF43BD">
              <w:rPr>
                <w:rFonts w:ascii="Times New Roman" w:eastAsia="Times New Roman" w:hAnsi="Times New Roman" w:cs="Times New Roman"/>
                <w:color w:val="000000"/>
                <w:kern w:val="0"/>
                <w:sz w:val="20"/>
                <w:szCs w:val="20"/>
                <w:lang w:val="vi-VN"/>
                <w14:ligatures w14:val="none"/>
              </w:rPr>
              <w:t xml:space="preserve">Ngày 27/3/2025, Bộ Tài chính đã có Văn bản số 3878/BTC-DNTN gửi Ủy ban nhân dân các tỉnh, thành phố trực thuộc Trung ương về việc chuyển đổi dữ liệu đăng ký hộ kinh doanh. Hệ thống thông tin về đăng ký hộ kinh doanh đã có các công cụ để hỗ trợ các cơ quan đăng </w:t>
            </w:r>
            <w:r w:rsidRPr="00AF43BD">
              <w:rPr>
                <w:rFonts w:ascii="Times New Roman" w:eastAsia="Times New Roman" w:hAnsi="Times New Roman" w:cs="Times New Roman"/>
                <w:color w:val="000000"/>
                <w:kern w:val="0"/>
                <w:sz w:val="20"/>
                <w:szCs w:val="20"/>
                <w:lang w:val="vi-VN"/>
                <w14:ligatures w14:val="none"/>
              </w:rPr>
              <w:lastRenderedPageBreak/>
              <w:t>ký kinh doanh chuyển đổi dữ liệu. Các địa phương trong quá trình chuyển đổi nếu có vướng mắc, đề nghị liên hệ với Trung tâm Thông tin doanh nghiệp, kinh tế tập thể, hộ kinh doanh - Cục Phát triển doanh nghiệp tư nhân và kinh tế tập thể để được hướng dẫn về cách thức sử dụng công cụ chuyển đổi dữ liệu (số điện thoại liên hệ 0243.848.9912, số máy lẻ: 301, 312).</w:t>
            </w:r>
          </w:p>
        </w:tc>
      </w:tr>
      <w:tr w:rsidR="00F435AF" w:rsidRPr="00CB19B3" w14:paraId="2A5F8C9D" w14:textId="4FEE84D0" w:rsidTr="00982689">
        <w:trPr>
          <w:trHeight w:val="560"/>
        </w:trPr>
        <w:tc>
          <w:tcPr>
            <w:tcW w:w="720" w:type="dxa"/>
            <w:shd w:val="clear" w:color="auto" w:fill="auto"/>
            <w:vAlign w:val="center"/>
            <w:hideMark/>
          </w:tcPr>
          <w:p w14:paraId="4189EE9C" w14:textId="1F9E8764"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17</w:t>
            </w:r>
          </w:p>
        </w:tc>
        <w:tc>
          <w:tcPr>
            <w:tcW w:w="1350" w:type="dxa"/>
            <w:shd w:val="clear" w:color="auto" w:fill="auto"/>
            <w:vAlign w:val="center"/>
            <w:hideMark/>
          </w:tcPr>
          <w:p w14:paraId="6393A711"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Thái Nguyên</w:t>
            </w:r>
          </w:p>
        </w:tc>
        <w:tc>
          <w:tcPr>
            <w:tcW w:w="6480" w:type="dxa"/>
            <w:shd w:val="clear" w:color="auto" w:fill="auto"/>
            <w:vAlign w:val="center"/>
            <w:hideMark/>
          </w:tcPr>
          <w:p w14:paraId="327D338F" w14:textId="2445EBB4"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Đề nghị các Bộ, ngành Trung ương nghiên cứu, sớm ban hành văn bản sửa đổi, bổ sung các quy định của pháp luật liên quan (Luật Quản lý, sử dụng tài sản công, Luật Đất đai,...) để thống nhất và đồng bộ trong triển khai thực tiễn.</w:t>
            </w:r>
          </w:p>
        </w:tc>
        <w:tc>
          <w:tcPr>
            <w:tcW w:w="7560" w:type="dxa"/>
            <w:vAlign w:val="center"/>
          </w:tcPr>
          <w:p w14:paraId="07460FEE" w14:textId="4C123CED" w:rsidR="00F435AF" w:rsidRPr="00C45648"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C45648">
              <w:rPr>
                <w:rFonts w:ascii="Times New Roman" w:eastAsia="Times New Roman" w:hAnsi="Times New Roman" w:cs="Times New Roman"/>
                <w:color w:val="000000"/>
                <w:kern w:val="0"/>
                <w:sz w:val="20"/>
                <w:szCs w:val="20"/>
                <w14:ligatures w14:val="none"/>
              </w:rPr>
              <w:t>- Bộ Tài chính đã trình Chính phủ trình Quốc hội ban hành Luật số 90/2025/QH15 ngày 25/6/2025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còn đối với Luật Đất đai thì hiện nay Bộ Nông nghiệp và Môi trường đang dự thảo để trình cấp có thẩm quyền xem xét, quyết định.</w:t>
            </w:r>
          </w:p>
          <w:p w14:paraId="0C6A09F7" w14:textId="4581C6FF" w:rsidR="00F435AF" w:rsidRPr="00532D80"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C45648">
              <w:rPr>
                <w:rFonts w:ascii="Times New Roman" w:eastAsia="Times New Roman" w:hAnsi="Times New Roman" w:cs="Times New Roman"/>
                <w:color w:val="000000"/>
                <w:kern w:val="0"/>
                <w:sz w:val="20"/>
                <w:szCs w:val="20"/>
                <w14:ligatures w14:val="none"/>
              </w:rPr>
              <w:t>- Bộ Tài chính đã trình cấp có thẩm quyền ban hành và ban hành theo thẩm quyền các văn bản quy phạm pháp luật liên quan đến quản lý, sử dụng tài sản công để các địa phương thuận lợi trong thực hiện các công việc liên quan sắp xếp, xử lý tài sản công khi thực hiện mô hình chính quyền địa phương 02 cấp.</w:t>
            </w:r>
          </w:p>
        </w:tc>
      </w:tr>
      <w:tr w:rsidR="00F435AF" w:rsidRPr="00636D4C" w14:paraId="486AE2B9" w14:textId="5B0CF982" w:rsidTr="00982689">
        <w:trPr>
          <w:trHeight w:val="1400"/>
        </w:trPr>
        <w:tc>
          <w:tcPr>
            <w:tcW w:w="720" w:type="dxa"/>
            <w:shd w:val="clear" w:color="auto" w:fill="auto"/>
            <w:vAlign w:val="center"/>
            <w:hideMark/>
          </w:tcPr>
          <w:p w14:paraId="47CF616F" w14:textId="2B6A880E"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18</w:t>
            </w:r>
          </w:p>
        </w:tc>
        <w:tc>
          <w:tcPr>
            <w:tcW w:w="1350" w:type="dxa"/>
            <w:shd w:val="clear" w:color="auto" w:fill="auto"/>
            <w:vAlign w:val="center"/>
            <w:hideMark/>
          </w:tcPr>
          <w:p w14:paraId="79D9B6E1"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Hòa Bình</w:t>
            </w:r>
          </w:p>
        </w:tc>
        <w:tc>
          <w:tcPr>
            <w:tcW w:w="6480" w:type="dxa"/>
            <w:shd w:val="clear" w:color="auto" w:fill="auto"/>
            <w:vAlign w:val="center"/>
            <w:hideMark/>
          </w:tcPr>
          <w:p w14:paraId="3049BCD7"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 Đối với Chính phủ, Thủ tướng Chính phủ: Ngày 16/6/2025, tỉnh Hòa Bình đã thành lập 10 Đoàn công tác để đi kiểm tra về cơ sở vật chất tại các xã sau sắp xếp ở 10 huyện, thành phố do các Đồng chí là Ủy viên Ban Thường vụ Tỉnh ủy làm Trưởng đoàn. Qua kiểm tra, nhận thấy nhiều cơ sở vật chất không đảm bảo cho hoạt động bình thường, như trụ sở đã xuống cấp, thấm dột, thiếu nước, nhà vệ sinh không hoạt động, đường dây điện không đáp ứng đủ nhu cầu,… Đề nghị trung ương xem xét hỗ trợ kinh phí mua sắm, sửa chữa, cải tạo trụ sở làm việc cho các xã sau sắp xếp.</w:t>
            </w:r>
          </w:p>
        </w:tc>
        <w:tc>
          <w:tcPr>
            <w:tcW w:w="7560" w:type="dxa"/>
            <w:vAlign w:val="center"/>
          </w:tcPr>
          <w:p w14:paraId="1BCCD396" w14:textId="41EAE33D" w:rsidR="00F435AF" w:rsidRPr="00050762" w:rsidRDefault="00F435AF" w:rsidP="00F435AF">
            <w:pPr>
              <w:spacing w:after="40" w:line="240" w:lineRule="auto"/>
              <w:jc w:val="both"/>
              <w:rPr>
                <w:rFonts w:ascii="Times New Roman" w:eastAsia="Times New Roman" w:hAnsi="Times New Roman" w:cs="Times New Roman"/>
                <w:sz w:val="20"/>
                <w:szCs w:val="20"/>
                <w:lang w:val="vi-VN"/>
              </w:rPr>
            </w:pPr>
            <w:r w:rsidRPr="00050762">
              <w:rPr>
                <w:rFonts w:ascii="Times New Roman" w:eastAsia="Times New Roman" w:hAnsi="Times New Roman" w:cs="Times New Roman"/>
                <w:sz w:val="20"/>
                <w:szCs w:val="20"/>
                <w:lang w:val="vi-VN"/>
              </w:rPr>
              <w:t>Đề nghị địa phương căn cứ Công điện số 95/CĐ-TTg ngày 22/6/2025 của Thủ tướng Chính phủ về việc đảm bảo cơ sở, vật chất cho các cơ quan, tổ chức đơn vị của Nhà nước khi thực hiện sắp xếp, tinh gọn bộ máy, sắp xếp ĐVHC xây dựng mô hình CQĐP 02 cấp để triển khai thực hiện. Trường hợp khó khăn về nguồn kinh phí thì đề nghị các địa phương rà soát, báo cáo theo đúng chỉ đạo của Thủ tướng Chính phủ tại Công điện số 95/CĐ-TTg. Trước mắt, đề nghị Tỉnh sử dụng nguồn NSTW đã bổ sung (Quyết định số 1353/QĐ-TTg ngày 25/6/2025 của Thủ tướng Chính phủ về việc bổ sung có mục tiêu từ ngân sách trung ương cho các địa phương để hỗ trợ kinh phí sắp xếp đơn vị hành chính cấp tỉnh, cấp xã), chủ động sử dụng nguồn NSĐP và các nguồn tài chính hợp pháp khác để thực hiện.</w:t>
            </w:r>
          </w:p>
        </w:tc>
      </w:tr>
      <w:tr w:rsidR="00F435AF" w:rsidRPr="00CB19B3" w14:paraId="7100CFEF" w14:textId="1BDDCF6D" w:rsidTr="00982689">
        <w:trPr>
          <w:trHeight w:val="1400"/>
        </w:trPr>
        <w:tc>
          <w:tcPr>
            <w:tcW w:w="720" w:type="dxa"/>
            <w:shd w:val="clear" w:color="auto" w:fill="auto"/>
            <w:noWrap/>
            <w:vAlign w:val="center"/>
            <w:hideMark/>
          </w:tcPr>
          <w:p w14:paraId="4788BD61" w14:textId="59556D46"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19</w:t>
            </w:r>
          </w:p>
        </w:tc>
        <w:tc>
          <w:tcPr>
            <w:tcW w:w="1350" w:type="dxa"/>
            <w:shd w:val="clear" w:color="auto" w:fill="auto"/>
            <w:noWrap/>
            <w:vAlign w:val="center"/>
            <w:hideMark/>
          </w:tcPr>
          <w:p w14:paraId="63D61AD6" w14:textId="447379FE"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Hòa Bình</w:t>
            </w:r>
          </w:p>
        </w:tc>
        <w:tc>
          <w:tcPr>
            <w:tcW w:w="6480" w:type="dxa"/>
            <w:shd w:val="clear" w:color="auto" w:fill="auto"/>
            <w:vAlign w:val="center"/>
            <w:hideMark/>
          </w:tcPr>
          <w:p w14:paraId="27D07376" w14:textId="65FE5927"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Hiện nay địa phương mới điều chỉnh nguồn dự toán giao đầu năm cho phù hợp mô hình chính quyền địa phương 02 cấp, riêng nguồn năm trước chuyển sang, nguồn bổ sung trong năm từ ngân sách cấp trên mới được các cơ quan đơn vị ghi nhận số liệu và ký biên bản bàn giao, còn việc tiếp tục quản lý, sử dụng hay có phải giao lại dự toán cho chính quyền mới, nếu giao lại thì thẩm quyền của cơ quan nào? Đề nghị Bộ Tài chính quan tâm xem xét, hướng dẫn để địa phương kịp thời tổ chức thực hiện.</w:t>
            </w:r>
          </w:p>
        </w:tc>
        <w:tc>
          <w:tcPr>
            <w:tcW w:w="7560" w:type="dxa"/>
            <w:vAlign w:val="center"/>
          </w:tcPr>
          <w:p w14:paraId="276B4956" w14:textId="75B96D56" w:rsidR="00F435AF" w:rsidRPr="00DD7D32"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A81512">
              <w:rPr>
                <w:rFonts w:ascii="Times New Roman" w:eastAsia="Times New Roman" w:hAnsi="Times New Roman" w:cs="Times New Roman"/>
                <w:color w:val="000000"/>
                <w:kern w:val="0"/>
                <w:sz w:val="20"/>
                <w:szCs w:val="20"/>
                <w14:ligatures w14:val="none"/>
              </w:rPr>
              <w:t>Đề nghị thực hiện theo văn bản số 4205/BTC-NSNN ngày 02/4/2025 của Bộ Tài chính</w:t>
            </w:r>
          </w:p>
        </w:tc>
      </w:tr>
      <w:tr w:rsidR="00F435AF" w:rsidRPr="00636D4C" w14:paraId="2181F139" w14:textId="59E93FAF" w:rsidTr="00982689">
        <w:trPr>
          <w:trHeight w:val="560"/>
        </w:trPr>
        <w:tc>
          <w:tcPr>
            <w:tcW w:w="720" w:type="dxa"/>
            <w:shd w:val="clear" w:color="auto" w:fill="auto"/>
            <w:noWrap/>
            <w:vAlign w:val="center"/>
            <w:hideMark/>
          </w:tcPr>
          <w:p w14:paraId="4735F2B8" w14:textId="72D64F6D"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20</w:t>
            </w:r>
          </w:p>
        </w:tc>
        <w:tc>
          <w:tcPr>
            <w:tcW w:w="1350" w:type="dxa"/>
            <w:shd w:val="clear" w:color="auto" w:fill="auto"/>
            <w:noWrap/>
            <w:vAlign w:val="center"/>
            <w:hideMark/>
          </w:tcPr>
          <w:p w14:paraId="7BAD6704" w14:textId="476EC97A"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Hòa Bình</w:t>
            </w:r>
          </w:p>
        </w:tc>
        <w:tc>
          <w:tcPr>
            <w:tcW w:w="6480" w:type="dxa"/>
            <w:shd w:val="clear" w:color="auto" w:fill="auto"/>
            <w:vAlign w:val="center"/>
            <w:hideMark/>
          </w:tcPr>
          <w:p w14:paraId="4655ED0E" w14:textId="3F19A612"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Trường hợp chính quyền cấp huyện vẫn còn số dư vay của Quỹ Đầu tư phát triển, Quỹ Phát triển đất để bồi thường giải phóng mặt bằng, đầu tư hạ tầng các khu đấu giá đất sau ngày 01/7/2025 thì xử lý như thế nào?</w:t>
            </w:r>
          </w:p>
        </w:tc>
        <w:tc>
          <w:tcPr>
            <w:tcW w:w="7560" w:type="dxa"/>
            <w:vAlign w:val="center"/>
          </w:tcPr>
          <w:p w14:paraId="643CF570" w14:textId="03FC2BAB" w:rsidR="00F435AF" w:rsidRPr="00C03633"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E6B28">
              <w:rPr>
                <w:rFonts w:ascii="Times New Roman" w:eastAsia="Times New Roman" w:hAnsi="Times New Roman" w:cs="Times New Roman"/>
                <w:color w:val="000000"/>
                <w:kern w:val="0"/>
                <w:sz w:val="20"/>
                <w:szCs w:val="20"/>
                <w:lang w:val="vi-VN"/>
                <w14:ligatures w14:val="none"/>
              </w:rPr>
              <w:t xml:space="preserve">Đối với nội dung xử lý việc chính quyền địa phương cấp huyện vẫn còn số dư vay của Quỹ đầu tư phát triển tỉnh Hòa Bình sau ngày 01/7/2025, Bộ Tài chính đã có Công văn số 1201/BTC-TCNH ngày 24/1/2025 báo cáo Phó Thủ tướng Chính phủ Hồ Đức Phớc và đồng gửi UBND tỉnh Hòa Bình, Quỹ ĐTPT tỉnh Hòa Bình. Tại công văn này nêu rõ: (i) việc Quỹ </w:t>
            </w:r>
            <w:r w:rsidRPr="003E6B28">
              <w:rPr>
                <w:rFonts w:ascii="Times New Roman" w:eastAsia="Times New Roman" w:hAnsi="Times New Roman" w:cs="Times New Roman"/>
                <w:color w:val="000000"/>
                <w:kern w:val="0"/>
                <w:sz w:val="20"/>
                <w:szCs w:val="20"/>
                <w:lang w:val="vi-VN"/>
                <w14:ligatures w14:val="none"/>
              </w:rPr>
              <w:lastRenderedPageBreak/>
              <w:t>ĐTPT tỉnh Hòa Bình cho UBND cấp huyện vay vốn là không đúng quy định pháp luật; (ii) vấn đề chuyển khoản nợ vay của chính quyền địa phương cấp huyện xuống cấp xã hay lên cấp tỉnh để tiếp tục quản lý và xử lý khoản vay thì thực hiện theo pháp luật ngân sách</w:t>
            </w:r>
            <w:r>
              <w:rPr>
                <w:rFonts w:ascii="Times New Roman" w:eastAsia="Times New Roman" w:hAnsi="Times New Roman" w:cs="Times New Roman"/>
                <w:color w:val="000000"/>
                <w:kern w:val="0"/>
                <w:sz w:val="20"/>
                <w:szCs w:val="20"/>
                <w:lang w:val="vi-VN"/>
                <w14:ligatures w14:val="none"/>
              </w:rPr>
              <w:t>.</w:t>
            </w:r>
          </w:p>
        </w:tc>
      </w:tr>
      <w:tr w:rsidR="00F435AF" w:rsidRPr="00CB19B3" w14:paraId="03FDC82D" w14:textId="11A0B3DD" w:rsidTr="00982689">
        <w:trPr>
          <w:trHeight w:val="1680"/>
        </w:trPr>
        <w:tc>
          <w:tcPr>
            <w:tcW w:w="720" w:type="dxa"/>
            <w:shd w:val="clear" w:color="auto" w:fill="auto"/>
            <w:vAlign w:val="center"/>
            <w:hideMark/>
          </w:tcPr>
          <w:p w14:paraId="48AEADF0" w14:textId="1EBE63A0"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14:ligatures w14:val="none"/>
              </w:rPr>
            </w:pPr>
            <w:r w:rsidRPr="003077F6">
              <w:rPr>
                <w:rFonts w:ascii="Times New Roman" w:hAnsi="Times New Roman" w:cs="Times New Roman"/>
                <w:sz w:val="20"/>
                <w:szCs w:val="20"/>
              </w:rPr>
              <w:lastRenderedPageBreak/>
              <w:t>21</w:t>
            </w:r>
          </w:p>
        </w:tc>
        <w:tc>
          <w:tcPr>
            <w:tcW w:w="1350" w:type="dxa"/>
            <w:shd w:val="clear" w:color="auto" w:fill="auto"/>
            <w:vAlign w:val="center"/>
            <w:hideMark/>
          </w:tcPr>
          <w:p w14:paraId="7053AAEC"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Lai Châu</w:t>
            </w:r>
          </w:p>
        </w:tc>
        <w:tc>
          <w:tcPr>
            <w:tcW w:w="6480" w:type="dxa"/>
            <w:shd w:val="clear" w:color="auto" w:fill="auto"/>
            <w:vAlign w:val="center"/>
            <w:hideMark/>
          </w:tcPr>
          <w:p w14:paraId="54D11EA9" w14:textId="0C00ECB0"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Căn cứ Nghị quyết số 76/2025/UBTVQH15 ngày 14/4/2025 của Ủy ban Thường vụ Quốc hội về việc sắp xếp đơn vị hành chính năm 2025; Căn cứ Nghị quyết số 1670/NQ-UBTVQH15 ngày 16/6/2025 của Uỷ ban Thường vụ Quốc hội về việc sắp xếp các đơn vị hành chính cấp xã của tỉnh Lai Châu năm 2025. Đề nghị Bộ Tài chính sớm trình cấp có thẩm quyền hỗ trợ cho tỉnh Lai Châu kinh phí quy định tại Khoản 2, Điều 15 của Nghị quyết số 76/2025/UBTVQH15 ngày 14/4/2025 của Ủy ban Thường vụ Quốc hội về việc sắp xếp đơn vị hành chính năm 2025, với số kinh phí tương ứng là: 34.000 triệu đồng (do giảm số lượng đơn vị hành chính cấp xã trước sắp xếp từ 106 xã, phường, thị trấn thành 38 xã, phường sau sắp xếp).</w:t>
            </w:r>
          </w:p>
        </w:tc>
        <w:tc>
          <w:tcPr>
            <w:tcW w:w="7560" w:type="dxa"/>
            <w:vAlign w:val="center"/>
          </w:tcPr>
          <w:p w14:paraId="5D20E785" w14:textId="78BC25CF" w:rsidR="00F435AF" w:rsidRPr="00481E8D"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7C7A66">
              <w:rPr>
                <w:rFonts w:ascii="Times New Roman" w:eastAsia="Times New Roman" w:hAnsi="Times New Roman" w:cs="Times New Roman"/>
                <w:color w:val="000000"/>
                <w:kern w:val="0"/>
                <w:sz w:val="20"/>
                <w:szCs w:val="20"/>
                <w14:ligatures w14:val="none"/>
              </w:rPr>
              <w:t>Bộ Tài chính đã trình Thủ tướng Chính phủ ban hành Quyết định số 1353/QĐ-TTg ngày 25/6/2025 bổ sung cho các địa phương để hỗ trợ kinh phí sắp xếp đơn vị hành chính cấp tỉnh, cấp xã, trong đó tỉnh Lai Châu được hỗ trợ 34 tỷ đồng cho 68 xã giảm (sắp xếp từ 106 xã, phường, thị trấn thành 38 xã, phường).</w:t>
            </w:r>
          </w:p>
        </w:tc>
      </w:tr>
      <w:tr w:rsidR="00F435AF" w:rsidRPr="00CB19B3" w14:paraId="43E86067" w14:textId="525EC909" w:rsidTr="00982689">
        <w:trPr>
          <w:trHeight w:val="481"/>
        </w:trPr>
        <w:tc>
          <w:tcPr>
            <w:tcW w:w="720" w:type="dxa"/>
            <w:shd w:val="clear" w:color="auto" w:fill="auto"/>
            <w:noWrap/>
            <w:vAlign w:val="center"/>
            <w:hideMark/>
          </w:tcPr>
          <w:p w14:paraId="39F507D7" w14:textId="79E54C09"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22</w:t>
            </w:r>
          </w:p>
        </w:tc>
        <w:tc>
          <w:tcPr>
            <w:tcW w:w="1350" w:type="dxa"/>
            <w:shd w:val="clear" w:color="auto" w:fill="auto"/>
            <w:noWrap/>
            <w:vAlign w:val="center"/>
            <w:hideMark/>
          </w:tcPr>
          <w:p w14:paraId="083AA45E" w14:textId="76182E39"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Lai Châu</w:t>
            </w:r>
          </w:p>
        </w:tc>
        <w:tc>
          <w:tcPr>
            <w:tcW w:w="6480" w:type="dxa"/>
            <w:shd w:val="clear" w:color="auto" w:fill="auto"/>
            <w:vAlign w:val="center"/>
            <w:hideMark/>
          </w:tcPr>
          <w:p w14:paraId="4CC054C8" w14:textId="79679419"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Thực hiện Công điện số 95/CĐ-TTg ngày 22/6/2025 của Thủ tướng Chính phủ về việc đảm bảo cơ sở, vật chất cho các cơ quan, tổ chức đơn vị của nhà nước khi thực hiện sắp xếp, tinh gọn bộ máy, sắp xếp đơn vị hành chính xây dựng mô hình chính quyền địa phương 02 cấp. UBND tỉnh đã ban hành Công văn số 3140/UBND-KTN ngày 23/6/2025 về đề nghị hỗ trợ kinh phí đảm bảo cơ sở, vật chất cho các cơ quan, tổ chức đơn vị của nhà nước khi thực hiện sắp xếp, tinh gọn bộ máy, sắp xếp đơn vị hành chính xây dựng mô hình chính quyền địa phương 02 cấp với nhu cầu kinh phí là: 235.496 triệu đồng. Do đó, đề nghị Bộ Tài chính quan tâm xem xét sớm trình cấp có thẩm quyền hỗ trợ cho địa phương.</w:t>
            </w:r>
          </w:p>
        </w:tc>
        <w:tc>
          <w:tcPr>
            <w:tcW w:w="7560" w:type="dxa"/>
            <w:vAlign w:val="center"/>
          </w:tcPr>
          <w:p w14:paraId="062D2BD2" w14:textId="133B1DD6" w:rsidR="00F435AF" w:rsidRPr="005A5028"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5A5028">
              <w:rPr>
                <w:rFonts w:ascii="Times New Roman" w:eastAsia="Times New Roman" w:hAnsi="Times New Roman" w:cs="Times New Roman"/>
                <w:color w:val="000000"/>
                <w:kern w:val="0"/>
                <w:sz w:val="20"/>
                <w:szCs w:val="20"/>
                <w14:ligatures w14:val="none"/>
              </w:rPr>
              <w:t>(1) Tại Công điện số 95/CĐ-TTg, Thủ tướng Chính phủ yêu cầu: Chủ tịch Ủy ban nhân dân các tỉnh, thành phố trực thuộc trung ương chủ động bố trí nguồn ngân sách địa phương và các nguồn tài chính hợp pháp khác để bố trí triển khai thực hiện sắp xếp bộ máy cấp xã; đối với việc sắp xếp các cơ quan cấp tỉnh, tỉnh được quyết định đặt trung tâm hành chính mới sau sắp xếp có trách nhiệm bố trí kinh phí để thực hiện. Trường hợp khó khăn về nguồn kinh phí, Ủy ban nhân dân cấp tỉnh kịp thời có báo cáo gửi Bộ Tài chính để tổng hợp, trình cấp có thẩm quyền xem xét, xử lý ngay trong ngày 23 tháng 6 năm 2025.</w:t>
            </w:r>
          </w:p>
          <w:p w14:paraId="0DF6DD0D" w14:textId="77777777" w:rsidR="00F435AF" w:rsidRPr="005A5028"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5A5028">
              <w:rPr>
                <w:rFonts w:ascii="Times New Roman" w:eastAsia="Times New Roman" w:hAnsi="Times New Roman" w:cs="Times New Roman"/>
                <w:color w:val="000000"/>
                <w:kern w:val="0"/>
                <w:sz w:val="20"/>
                <w:szCs w:val="20"/>
                <w14:ligatures w14:val="none"/>
              </w:rPr>
              <w:t xml:space="preserve">(2) Tại văn bản số 3140/UBND-KTN ngày 23/6/2025 của Tỉnh Lai Châu đề nghị hỗ trợ 235.496 triệu đồng để: mua xe ô tô là 53.200 triệu đồng; đầu tư trang thiết bị tại trung tâm phục vụ hành chính công là 15.000 triệu đồng; sửa chữa trụ sở, nhà lưu trú cho cán bộ, công chức là 35.050 triệu đồng; số hóa tài liệu là 82.246 triệu đồng; nâng cấp, cải tạo, sữa chữa và xây mới một số hạng mục tại Ban chỉ huy khu vực phòng thủ của tỉnh là 50.000 triệu đồng; tuy nhiên, tại văn bản này, UBND tỉnh Lai Châu chưa chi tiết được nhu cầu kinh phí cần thiết, cấp bách, chưa làm rõ khả năng cân đối nguồn NSĐP và huy động các nguồn tài chính hợp pháp khác; chưa đủ cơ sở để xác định phần thiếu NSTW phải hỗ trợ để triển khai thực hiện. </w:t>
            </w:r>
          </w:p>
          <w:p w14:paraId="19533171" w14:textId="3E31FAC0" w:rsidR="00F435AF" w:rsidRPr="005A5028"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5A5028">
              <w:rPr>
                <w:rFonts w:ascii="Times New Roman" w:eastAsia="Times New Roman" w:hAnsi="Times New Roman" w:cs="Times New Roman"/>
                <w:color w:val="000000"/>
                <w:kern w:val="0"/>
                <w:sz w:val="20"/>
                <w:szCs w:val="20"/>
                <w14:ligatures w14:val="none"/>
              </w:rPr>
              <w:t>Do đó, Bộ Tài chính đã có văn bản số 9391/BTC-NSNN ngày 26/6/2025 đề nghị UBND tỉnh Lai Châu báo cáo cụ thể theo đúng chỉ đạo của Thủ tướng Chính phủ tại Công điện số 95/CĐ-TTg; trên cơ sở báo cáo của Tỉnh, Bộ Tài chính sẽ tổng hợp chung, báo cáo Thủ tướng Chính phủ xem xét, quyết định.</w:t>
            </w:r>
          </w:p>
        </w:tc>
      </w:tr>
      <w:tr w:rsidR="00F435AF" w:rsidRPr="00CB19B3" w14:paraId="5962869A" w14:textId="279C875B" w:rsidTr="00982689">
        <w:trPr>
          <w:trHeight w:val="1894"/>
        </w:trPr>
        <w:tc>
          <w:tcPr>
            <w:tcW w:w="720" w:type="dxa"/>
            <w:shd w:val="clear" w:color="auto" w:fill="auto"/>
            <w:noWrap/>
            <w:vAlign w:val="center"/>
            <w:hideMark/>
          </w:tcPr>
          <w:p w14:paraId="44C717CC" w14:textId="4103A7E6"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lastRenderedPageBreak/>
              <w:t>23</w:t>
            </w:r>
          </w:p>
        </w:tc>
        <w:tc>
          <w:tcPr>
            <w:tcW w:w="1350" w:type="dxa"/>
            <w:shd w:val="clear" w:color="auto" w:fill="auto"/>
            <w:noWrap/>
            <w:vAlign w:val="center"/>
            <w:hideMark/>
          </w:tcPr>
          <w:p w14:paraId="24E8D8C9" w14:textId="06170725"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Lai Châu</w:t>
            </w:r>
          </w:p>
        </w:tc>
        <w:tc>
          <w:tcPr>
            <w:tcW w:w="6480" w:type="dxa"/>
            <w:shd w:val="clear" w:color="auto" w:fill="auto"/>
            <w:vAlign w:val="center"/>
            <w:hideMark/>
          </w:tcPr>
          <w:p w14:paraId="13D14B2C" w14:textId="09BC99FD"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Tại khoản 1, mục II của Nghị quyết số 57-NQ/TW ngày 22/12/2024 của Bộ Chính trị về đột phát phát triển khoa học, công nghệ, đổi mới sáng tạo và chuyển đổi số quốc gia quy định “bố trí ít nhất 3% tổng chi ngân sách hằng năm cho phát triển khoa học, công nghệ, đổi mới sáng tạo, chuyển đổi số quốc gia và tăng dần theo yêu cầu phát triển”. Tuy nhiên đối với các địa phương việc xác định tổng chi ngân sách hằng năm được xác định theo tổng chi ngân sách địa phương (bao gồm cả chi thực hiện các Chương trình MTQG, Chương trình mục tiêu) hay chỉ là tổng chi cân đối ngân sách địa phương. Do đó, để thuận tiện trong tổ chức thực hiện đề nghị các Bộ, ngành Trung ương hướng dẫn cụ thể về nội dung này, ngoài ra đề nghị các Bộ, ngành Trung ương xem xét trình cấp có thẩm quyền ban hành cơ chế hỗ trợ nguồn lực cho các địa phương khó khăn trong việc cân đối nguồn lực.</w:t>
            </w:r>
          </w:p>
        </w:tc>
        <w:tc>
          <w:tcPr>
            <w:tcW w:w="7560" w:type="dxa"/>
            <w:vAlign w:val="center"/>
          </w:tcPr>
          <w:p w14:paraId="295CB94E" w14:textId="61606C89" w:rsidR="00F435AF" w:rsidRPr="00691DBC"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lang w:val="vi-VN"/>
                <w14:ligatures w14:val="none"/>
              </w:rPr>
              <w:t>(</w:t>
            </w:r>
            <w:r w:rsidRPr="00691DBC">
              <w:rPr>
                <w:rFonts w:ascii="Times New Roman" w:eastAsia="Times New Roman" w:hAnsi="Times New Roman" w:cs="Times New Roman"/>
                <w:color w:val="000000"/>
                <w:kern w:val="0"/>
                <w:sz w:val="20"/>
                <w:szCs w:val="20"/>
                <w14:ligatures w14:val="none"/>
              </w:rPr>
              <w:t xml:space="preserve">1) Tại khoản 1, mục II của Nghị quyết số 57-NQ/TW ngày 22/12/2024 của Bộ Chính trị về đột phát phát triển khoa học, công nghệ, đổi mới sáng tạo và chuyển đổi số quốc gia quy định “bố trí ít nhất 3% tổng chi ngân sách hằng năm cho phát triển khoa học, công nghệ, đổi mới sáng tạo, chuyển đổi số quốc gia và tăng dần theo yêu cầu phát triển”. Như vậy, mức bố trí 3% tổng chi NSNN (NSTW và NSĐP) bao gồm cả chi đầu tư và chi thường xuyên. </w:t>
            </w:r>
          </w:p>
          <w:p w14:paraId="653DB9DA" w14:textId="77777777" w:rsidR="00F435AF" w:rsidRPr="00691DBC"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691DBC">
              <w:rPr>
                <w:rFonts w:ascii="Times New Roman" w:eastAsia="Times New Roman" w:hAnsi="Times New Roman" w:cs="Times New Roman"/>
                <w:color w:val="000000"/>
                <w:kern w:val="0"/>
                <w:sz w:val="20"/>
                <w:szCs w:val="20"/>
                <w14:ligatures w14:val="none"/>
              </w:rPr>
              <w:t>(2) Tại Điều 28 Luật NSNN đã được Quốc hội thông qua ngày 25/6/2025 quy định: “Nhiệm vụ, quyền hạn của Bộ Khoa học và Công nghệ: ... 2. Hướng dẫn, tổng hợp và đề xuất dự toán chi ngân sách nhà nước cho lĩnh vực khoa học, công nghệ, đổi mới sáng tạo và chuyển đổi số (bao gồm chi đầu tư phát triển và chi thường xuyên) của các Bộ, cơ quan ngang Bộ, cơ quan thuộc Chính phủ, cơ quan khác ở trung ương và các địa phương theo quy định của Luật này, Luật Đầu tư công và pháp luật quản lý ngành, lĩnh vực, bảo đảm tổng mức và cơ cấu phù hợp với chủ trương của Đảng và pháp luật của Nhà nước, gửi Bộ Tài chính tổng hợp, trình cấp có thẩm quyền xem xét, quyết định.”</w:t>
            </w:r>
          </w:p>
          <w:p w14:paraId="3B017697" w14:textId="42F34A5A" w:rsidR="00F435AF" w:rsidRPr="00691DB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91DBC">
              <w:rPr>
                <w:rFonts w:ascii="Times New Roman" w:eastAsia="Times New Roman" w:hAnsi="Times New Roman" w:cs="Times New Roman"/>
                <w:color w:val="000000"/>
                <w:kern w:val="0"/>
                <w:sz w:val="20"/>
                <w:szCs w:val="20"/>
                <w14:ligatures w14:val="none"/>
              </w:rPr>
              <w:t>Trên cơ sở đó, trường hợp địa phương có khó khăn về nguồn lực để thực hiện nhiệm vụ phát triển khoa học, công nghệ, đổi mới sáng tạo và chuyển đổi số, đề nghị Tỉnh báo cáo Bộ Khoa học và Công nghệ. Trên cơ sở tổng hợp đề xuất kinh phí của Bộ Khoa học và Công nghệ, Bộ Tài chính sẽ phối hợp trình cấp có thẩm quyền xem xét, quyết định.</w:t>
            </w:r>
          </w:p>
        </w:tc>
      </w:tr>
      <w:tr w:rsidR="00F435AF" w:rsidRPr="00636D4C" w14:paraId="4A258F22" w14:textId="422F521A" w:rsidTr="00982689">
        <w:trPr>
          <w:trHeight w:val="1400"/>
        </w:trPr>
        <w:tc>
          <w:tcPr>
            <w:tcW w:w="720" w:type="dxa"/>
            <w:shd w:val="clear" w:color="auto" w:fill="auto"/>
            <w:noWrap/>
            <w:vAlign w:val="center"/>
            <w:hideMark/>
          </w:tcPr>
          <w:p w14:paraId="33D2B9E8" w14:textId="5875C09F"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24</w:t>
            </w:r>
          </w:p>
        </w:tc>
        <w:tc>
          <w:tcPr>
            <w:tcW w:w="1350" w:type="dxa"/>
            <w:shd w:val="clear" w:color="auto" w:fill="auto"/>
            <w:noWrap/>
            <w:vAlign w:val="center"/>
            <w:hideMark/>
          </w:tcPr>
          <w:p w14:paraId="3632CBB4" w14:textId="4B49D8E8"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Lai Châu</w:t>
            </w:r>
          </w:p>
        </w:tc>
        <w:tc>
          <w:tcPr>
            <w:tcW w:w="6480" w:type="dxa"/>
            <w:shd w:val="clear" w:color="auto" w:fill="auto"/>
            <w:vAlign w:val="center"/>
            <w:hideMark/>
          </w:tcPr>
          <w:p w14:paraId="55BD8ABC" w14:textId="01658353"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Do nguồn lực địa phương còn hạn hẹp không đáp ứng đủ nhu cầu kinh phí chi trả chế độ, chính sách theo Nghị định số 178/2024/NĐ-CP và Nghị định số 67/2025/NĐ-CP của Chính phủ trong năm 2025. Do đó, địa phương đề nghị Bộ Tài chính xem xét, tổng hợp báo cáo cấp có thẩm quyền sớm bổ sung số kinh phí còn thiếu cho địa phương để kịp thời chi trả chính sách theo quy định sau khi địa phương sử dụng hết nguồn cải cách tiền lương năm 2025, với số tiền đề nghị bổ sung năm 2025 là: 627.633 triệu đồng</w:t>
            </w:r>
          </w:p>
        </w:tc>
        <w:tc>
          <w:tcPr>
            <w:tcW w:w="7560" w:type="dxa"/>
            <w:vAlign w:val="center"/>
          </w:tcPr>
          <w:p w14:paraId="13D01053" w14:textId="46D0BD69" w:rsidR="00F435AF" w:rsidRPr="005A1597"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5A1597">
              <w:rPr>
                <w:rFonts w:ascii="Times New Roman" w:eastAsia="Times New Roman" w:hAnsi="Times New Roman" w:cs="Times New Roman"/>
                <w:color w:val="000000"/>
                <w:kern w:val="0"/>
                <w:sz w:val="20"/>
                <w:szCs w:val="20"/>
                <w14:ligatures w14:val="none"/>
              </w:rPr>
              <w:t xml:space="preserve">Ngày 26/6/2025, Sở Tài chính tỉnh Lai Châu có văn bản số 1735/STC-QLNS đề nghị bổ sung 446,27 tỷ đồng thực hiện Nghị định số 178/2024/NĐ-CP và Nghị định số 67/2025/NĐ-CP của Chính phủ. </w:t>
            </w:r>
          </w:p>
          <w:p w14:paraId="4B0C5D7C" w14:textId="2412EACB" w:rsidR="00F435AF" w:rsidRPr="00C118C3"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5A1597">
              <w:rPr>
                <w:rFonts w:ascii="Times New Roman" w:eastAsia="Times New Roman" w:hAnsi="Times New Roman" w:cs="Times New Roman"/>
                <w:color w:val="000000"/>
                <w:kern w:val="0"/>
                <w:sz w:val="20"/>
                <w:szCs w:val="20"/>
                <w14:ligatures w14:val="none"/>
              </w:rPr>
              <w:t>Bộ Tài chính đã tổng hợp đề xuất của Tỉnh và có Tờ trình số 349/TTr-BTC ngày 26/6/2025 trình Chính phủ bổ sung kinh phí còn thiếu theo đúng đề xuất của Tỉnh Lai Châu.</w:t>
            </w:r>
          </w:p>
          <w:p w14:paraId="2C6D81B8" w14:textId="104BD124" w:rsidR="00F435AF" w:rsidRPr="005A1597"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Thủ tướng Chính phủ đã có Quyết định số 1442/QĐ-TTg ngày 30/6/2025 bổ sung có mục tiêu từ ngân sách trung ương cho các địa phương để thực hiện chi trả chế độ, chính sách theo Nghị định số 178/2024/NĐ-CP và Nghị định số 67/2025/NĐ-CP của Chính phủ, trong đó tỉnh Lai Châu được hỗ trợ 446,27 tỷ đồng.</w:t>
            </w:r>
          </w:p>
        </w:tc>
      </w:tr>
      <w:tr w:rsidR="00F435AF" w:rsidRPr="00636D4C" w14:paraId="20FDD4F0" w14:textId="00163442" w:rsidTr="00982689">
        <w:trPr>
          <w:trHeight w:val="1372"/>
        </w:trPr>
        <w:tc>
          <w:tcPr>
            <w:tcW w:w="720" w:type="dxa"/>
            <w:shd w:val="clear" w:color="auto" w:fill="auto"/>
            <w:noWrap/>
            <w:vAlign w:val="center"/>
            <w:hideMark/>
          </w:tcPr>
          <w:p w14:paraId="1DF0DA7A" w14:textId="0D83712C"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25</w:t>
            </w:r>
          </w:p>
        </w:tc>
        <w:tc>
          <w:tcPr>
            <w:tcW w:w="1350" w:type="dxa"/>
            <w:shd w:val="clear" w:color="auto" w:fill="auto"/>
            <w:noWrap/>
            <w:vAlign w:val="center"/>
            <w:hideMark/>
          </w:tcPr>
          <w:p w14:paraId="3BFA4CF7" w14:textId="03E1DC52"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Lai Châu</w:t>
            </w:r>
          </w:p>
        </w:tc>
        <w:tc>
          <w:tcPr>
            <w:tcW w:w="6480" w:type="dxa"/>
            <w:shd w:val="clear" w:color="auto" w:fill="auto"/>
            <w:vAlign w:val="center"/>
            <w:hideMark/>
          </w:tcPr>
          <w:p w14:paraId="0C6786FC" w14:textId="09934ABB"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Đề nghị Chính phủ và các Bộ, ngành Trung ương kịp thời hướng dẫn vị trí việc làm, cơ cấu ngạch công chức, cơ cấu chức danh nghề nghiệp viên chức trong các cơ quan, đơn vị sau sáp nhập các cơ quan chuyên môn thuộc UBND tỉnh; vị trí việc làm đối với cơ quan chuyên môn, đơn vị sự nghiệp công lập thuộc UBND cấp xã.</w:t>
            </w:r>
          </w:p>
        </w:tc>
        <w:tc>
          <w:tcPr>
            <w:tcW w:w="7560" w:type="dxa"/>
            <w:vAlign w:val="center"/>
          </w:tcPr>
          <w:p w14:paraId="4779AE36" w14:textId="18579335"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Hiện nay, Bộ Nội vụ đang hoàn thiện dự thảo Nghị định về quản lý, sử dụng biên chế công chức thay thế Nghị định số 62/2020/NĐ-CP ngày 01/6/2020 của Chính phủ về vị trí việc làm và biên chế công chức.</w:t>
            </w:r>
          </w:p>
          <w:p w14:paraId="221D2D14" w14:textId="54B9C663"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Trên cơ sở hướng dẫn chung của Chính phủ, Bộ Nội vụ, các bộ, ngành, địa phương triển khai thực hiện theo phân công. Theo đó, sau khi Chính phủ, Bộ Nội vụ ban hành văn bản quy phạm pháp luật hướng dẫn, Bộ Tài chính sẽ hướng dẫn vị trí việc làm đối với cơ quan chuyên môn thuộc phạm vi quản lý ngành, lĩnh vực theo quy định.</w:t>
            </w:r>
          </w:p>
          <w:p w14:paraId="54571B7A" w14:textId="510B4105"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lastRenderedPageBreak/>
              <w:t>Đồng thời, Bộ Tài chính đã thành lập T</w:t>
            </w:r>
            <w:r w:rsidRPr="00331715">
              <w:rPr>
                <w:rFonts w:ascii="Times New Roman" w:eastAsia="Times New Roman" w:hAnsi="Times New Roman" w:cs="Times New Roman"/>
                <w:color w:val="000000"/>
                <w:kern w:val="0"/>
                <w:sz w:val="20"/>
                <w:szCs w:val="20"/>
                <w:lang w:val="vi-VN"/>
                <w14:ligatures w14:val="none"/>
              </w:rPr>
              <w:t>ổ</w:t>
            </w:r>
            <w:r w:rsidRPr="00636D4C">
              <w:rPr>
                <w:rFonts w:ascii="Times New Roman" w:eastAsia="Times New Roman" w:hAnsi="Times New Roman" w:cs="Times New Roman"/>
                <w:color w:val="000000"/>
                <w:kern w:val="0"/>
                <w:sz w:val="20"/>
                <w:szCs w:val="20"/>
                <w:lang w:val="vi-VN"/>
                <w14:ligatures w14:val="none"/>
              </w:rPr>
              <w:t xml:space="preserve"> thường trực </w:t>
            </w:r>
            <w:r w:rsidRPr="00331715">
              <w:rPr>
                <w:rFonts w:ascii="Times New Roman" w:eastAsia="Times New Roman" w:hAnsi="Times New Roman" w:cs="Times New Roman"/>
                <w:color w:val="000000"/>
                <w:kern w:val="0"/>
                <w:sz w:val="20"/>
                <w:szCs w:val="20"/>
                <w:lang w:val="vi-VN"/>
                <w14:ligatures w14:val="none"/>
              </w:rPr>
              <w:t xml:space="preserve">2085 </w:t>
            </w:r>
            <w:r w:rsidRPr="00636D4C">
              <w:rPr>
                <w:rFonts w:ascii="Times New Roman" w:eastAsia="Times New Roman" w:hAnsi="Times New Roman" w:cs="Times New Roman"/>
                <w:color w:val="000000"/>
                <w:kern w:val="0"/>
                <w:sz w:val="20"/>
                <w:szCs w:val="20"/>
                <w:lang w:val="vi-VN"/>
                <w14:ligatures w14:val="none"/>
              </w:rPr>
              <w:t xml:space="preserve">của Bộ Tài chính để tỉếp nhận, hướng dẫn, giải đáp các vấn đề phát sinh trong quá trình thực hiện sắp xếp tố chức bộ máy và tổ chức chính quyền địa phưrong 02 cấp và công khai đường dây nóng để phối hợp với các địa phương. </w:t>
            </w:r>
          </w:p>
          <w:p w14:paraId="6EDF753B" w14:textId="1A992E3D" w:rsidR="00F435AF" w:rsidRPr="00CA7039"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Do đó, đề nghị tỉnh Lai Châu phối hợp chặt chẽ với Bộ Tài chính trong quá trình triển khai tổ chức chính quyền 2 cấp.</w:t>
            </w:r>
          </w:p>
        </w:tc>
      </w:tr>
      <w:tr w:rsidR="00F435AF" w:rsidRPr="00CB19B3" w14:paraId="2978284A" w14:textId="0DA14D8D" w:rsidTr="00982689">
        <w:trPr>
          <w:trHeight w:val="840"/>
        </w:trPr>
        <w:tc>
          <w:tcPr>
            <w:tcW w:w="720" w:type="dxa"/>
            <w:shd w:val="clear" w:color="auto" w:fill="auto"/>
            <w:vAlign w:val="center"/>
            <w:hideMark/>
          </w:tcPr>
          <w:p w14:paraId="0A8A35FB" w14:textId="42D544B2"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26</w:t>
            </w:r>
          </w:p>
        </w:tc>
        <w:tc>
          <w:tcPr>
            <w:tcW w:w="1350" w:type="dxa"/>
            <w:shd w:val="clear" w:color="auto" w:fill="auto"/>
            <w:vAlign w:val="center"/>
            <w:hideMark/>
          </w:tcPr>
          <w:p w14:paraId="7345848B"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Hải Phòng</w:t>
            </w:r>
          </w:p>
        </w:tc>
        <w:tc>
          <w:tcPr>
            <w:tcW w:w="6480" w:type="dxa"/>
            <w:shd w:val="clear" w:color="auto" w:fill="auto"/>
            <w:vAlign w:val="center"/>
            <w:hideMark/>
          </w:tcPr>
          <w:p w14:paraId="4CFAC8B3" w14:textId="1987CEEE"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14:ligatures w14:val="none"/>
              </w:rPr>
              <w:t>Đề</w:t>
            </w:r>
            <w:r>
              <w:rPr>
                <w:rFonts w:ascii="Times New Roman" w:eastAsia="Times New Roman" w:hAnsi="Times New Roman" w:cs="Times New Roman"/>
                <w:color w:val="000000"/>
                <w:kern w:val="0"/>
                <w:sz w:val="20"/>
                <w:szCs w:val="20"/>
                <w:lang w:val="vi-VN"/>
                <w14:ligatures w14:val="none"/>
              </w:rPr>
              <w:t xml:space="preserve"> nghị Bộ Tài chính có văn bản hướng dẫn về t</w:t>
            </w:r>
            <w:r w:rsidRPr="00DD7D32">
              <w:rPr>
                <w:rFonts w:ascii="Times New Roman" w:eastAsia="Times New Roman" w:hAnsi="Times New Roman" w:cs="Times New Roman"/>
                <w:color w:val="000000"/>
                <w:kern w:val="0"/>
                <w:sz w:val="20"/>
                <w:szCs w:val="20"/>
                <w14:ligatures w14:val="none"/>
              </w:rPr>
              <w:t>hời điểm trình Hội đồng nhân dân cấp tỉnh (sau sắp xếp) ban hành Nghị quyết về phân cấp nguồn thu, nhiệm vụ chi giữa ngân sách cấp tỉnh và cấp xã và Nghị quyết về điều chỉnh dự toán ngân sách thành phố sau sắp xếp vào ngày 01/7/2025 hay trình vào kỳ thường lệ dự kiến giữa tháng 7/2025</w:t>
            </w:r>
            <w:r>
              <w:rPr>
                <w:rFonts w:ascii="Times New Roman" w:eastAsia="Times New Roman" w:hAnsi="Times New Roman" w:cs="Times New Roman"/>
                <w:color w:val="000000"/>
                <w:kern w:val="0"/>
                <w:sz w:val="20"/>
                <w:szCs w:val="20"/>
                <w:lang w:val="vi-VN"/>
                <w14:ligatures w14:val="none"/>
              </w:rPr>
              <w:t>.</w:t>
            </w:r>
          </w:p>
        </w:tc>
        <w:tc>
          <w:tcPr>
            <w:tcW w:w="7560" w:type="dxa"/>
            <w:vAlign w:val="center"/>
          </w:tcPr>
          <w:p w14:paraId="0028D7BE" w14:textId="45956228" w:rsidR="00F435AF"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454179">
              <w:rPr>
                <w:rFonts w:ascii="Times New Roman" w:eastAsia="Times New Roman" w:hAnsi="Times New Roman" w:cs="Times New Roman"/>
                <w:color w:val="000000"/>
                <w:kern w:val="0"/>
                <w:sz w:val="20"/>
                <w:szCs w:val="20"/>
                <w14:ligatures w14:val="none"/>
              </w:rPr>
              <w:t>Đề nghị Tỉnh thực hiện theo văn bản số 8911/BTC-NSNN ngày 20/6/2025 của Bộ Tài chính về hướng dẫn nguyên tắc xử lý tài chính, NSNN khi tổ chức lại ĐVHC các cấp và xây dựng mô hình tổ chức CQĐP 02 cấp.</w:t>
            </w:r>
          </w:p>
        </w:tc>
      </w:tr>
      <w:tr w:rsidR="00F435AF" w:rsidRPr="00CB19B3" w14:paraId="1179198B" w14:textId="39E94C5F" w:rsidTr="00982689">
        <w:trPr>
          <w:trHeight w:val="780"/>
        </w:trPr>
        <w:tc>
          <w:tcPr>
            <w:tcW w:w="720" w:type="dxa"/>
            <w:shd w:val="clear" w:color="auto" w:fill="auto"/>
            <w:noWrap/>
            <w:vAlign w:val="center"/>
          </w:tcPr>
          <w:p w14:paraId="01AE68FE" w14:textId="7F84B2D7"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27</w:t>
            </w:r>
          </w:p>
        </w:tc>
        <w:tc>
          <w:tcPr>
            <w:tcW w:w="1350" w:type="dxa"/>
            <w:shd w:val="clear" w:color="auto" w:fill="auto"/>
            <w:noWrap/>
            <w:vAlign w:val="center"/>
            <w:hideMark/>
          </w:tcPr>
          <w:p w14:paraId="1AFE7E0A" w14:textId="42AF30E9"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Hải Phòng</w:t>
            </w:r>
          </w:p>
        </w:tc>
        <w:tc>
          <w:tcPr>
            <w:tcW w:w="6480" w:type="dxa"/>
            <w:shd w:val="clear" w:color="auto" w:fill="auto"/>
            <w:vAlign w:val="center"/>
            <w:hideMark/>
          </w:tcPr>
          <w:p w14:paraId="30360E18" w14:textId="47BFC7AD"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14:ligatures w14:val="none"/>
              </w:rPr>
              <w:t>Đề</w:t>
            </w:r>
            <w:r>
              <w:rPr>
                <w:rFonts w:ascii="Times New Roman" w:eastAsia="Times New Roman" w:hAnsi="Times New Roman" w:cs="Times New Roman"/>
                <w:color w:val="000000"/>
                <w:kern w:val="0"/>
                <w:sz w:val="20"/>
                <w:szCs w:val="20"/>
                <w:lang w:val="vi-VN"/>
                <w14:ligatures w14:val="none"/>
              </w:rPr>
              <w:t xml:space="preserve"> nghị Bộ Tài chính có văn bản hướng dẫn về </w:t>
            </w:r>
            <w:r w:rsidRPr="00DD7D32">
              <w:rPr>
                <w:rFonts w:ascii="Times New Roman" w:eastAsia="Times New Roman" w:hAnsi="Times New Roman" w:cs="Times New Roman"/>
                <w:color w:val="000000"/>
                <w:kern w:val="0"/>
                <w:sz w:val="20"/>
                <w:szCs w:val="20"/>
                <w14:ligatures w14:val="none"/>
              </w:rPr>
              <w:t>trường hợp trình cấp tỉnh (sau sắp xếp) vào kỳ thường lệ giữa tháng 7/2025, thì việc hạch toán các nguồn thu, chi ngân sách thực hiện như thế nào</w:t>
            </w:r>
            <w:r>
              <w:rPr>
                <w:rFonts w:ascii="Times New Roman" w:eastAsia="Times New Roman" w:hAnsi="Times New Roman" w:cs="Times New Roman"/>
                <w:color w:val="000000"/>
                <w:kern w:val="0"/>
                <w:sz w:val="20"/>
                <w:szCs w:val="20"/>
                <w:lang w:val="vi-VN"/>
                <w14:ligatures w14:val="none"/>
              </w:rPr>
              <w:t>?</w:t>
            </w:r>
          </w:p>
        </w:tc>
        <w:tc>
          <w:tcPr>
            <w:tcW w:w="7560" w:type="dxa"/>
            <w:vAlign w:val="center"/>
          </w:tcPr>
          <w:p w14:paraId="4623A2C4" w14:textId="199C4C2D" w:rsidR="00F435AF"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D6460A">
              <w:rPr>
                <w:rFonts w:ascii="Times New Roman" w:eastAsia="Times New Roman" w:hAnsi="Times New Roman" w:cs="Times New Roman"/>
                <w:color w:val="000000"/>
                <w:kern w:val="0"/>
                <w:sz w:val="20"/>
                <w:szCs w:val="20"/>
                <w14:ligatures w14:val="none"/>
              </w:rPr>
              <w:t>Đề nghị Tỉnh thực hiện theo văn bản số 8911/BTC-NSNN ngày 20/6/2025 của Bộ Tài chính về hướng dẫn nguyên tắc xử lý tài chính, NSNN khi tổ chức lại ĐVHC các cấp và xây dựng mô hình tổ chức CQĐP 02 cấp.</w:t>
            </w:r>
          </w:p>
        </w:tc>
      </w:tr>
      <w:tr w:rsidR="00F435AF" w:rsidRPr="00CB19B3" w14:paraId="3344D297" w14:textId="602821A7" w:rsidTr="00982689">
        <w:trPr>
          <w:trHeight w:val="280"/>
        </w:trPr>
        <w:tc>
          <w:tcPr>
            <w:tcW w:w="720" w:type="dxa"/>
            <w:shd w:val="clear" w:color="auto" w:fill="auto"/>
            <w:vAlign w:val="center"/>
          </w:tcPr>
          <w:p w14:paraId="6DD5AE5A" w14:textId="16F0F11F"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28</w:t>
            </w:r>
          </w:p>
        </w:tc>
        <w:tc>
          <w:tcPr>
            <w:tcW w:w="1350" w:type="dxa"/>
            <w:shd w:val="clear" w:color="auto" w:fill="auto"/>
            <w:vAlign w:val="center"/>
            <w:hideMark/>
          </w:tcPr>
          <w:p w14:paraId="398EB020"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Hưng Yên</w:t>
            </w:r>
          </w:p>
        </w:tc>
        <w:tc>
          <w:tcPr>
            <w:tcW w:w="6480" w:type="dxa"/>
            <w:shd w:val="clear" w:color="auto" w:fill="auto"/>
            <w:noWrap/>
            <w:vAlign w:val="center"/>
            <w:hideMark/>
          </w:tcPr>
          <w:p w14:paraId="32079803"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Hệ thống công nghệ thông tin hiện tại chưa đồng bộ để vận hành hiệu quả phân cấp tài chính 02 cấp</w:t>
            </w:r>
          </w:p>
        </w:tc>
        <w:tc>
          <w:tcPr>
            <w:tcW w:w="7560" w:type="dxa"/>
            <w:vAlign w:val="center"/>
          </w:tcPr>
          <w:p w14:paraId="5E47C88D" w14:textId="67BF9AE2" w:rsidR="00F435AF" w:rsidRPr="00242CA4"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42CA4">
              <w:rPr>
                <w:rFonts w:ascii="Times New Roman" w:eastAsia="Times New Roman" w:hAnsi="Times New Roman" w:cs="Times New Roman"/>
                <w:color w:val="000000"/>
                <w:kern w:val="0"/>
                <w:sz w:val="20"/>
                <w:szCs w:val="20"/>
                <w14:ligatures w14:val="none"/>
              </w:rPr>
              <w:t xml:space="preserve">Bộ Tài chính đã có </w:t>
            </w:r>
            <w:r>
              <w:rPr>
                <w:rFonts w:ascii="Times New Roman" w:eastAsia="Times New Roman" w:hAnsi="Times New Roman" w:cs="Times New Roman"/>
                <w:color w:val="000000"/>
                <w:kern w:val="0"/>
                <w:sz w:val="20"/>
                <w:szCs w:val="20"/>
                <w:lang w:val="vi-VN"/>
                <w14:ligatures w14:val="none"/>
              </w:rPr>
              <w:t>c</w:t>
            </w:r>
            <w:r w:rsidRPr="00242CA4">
              <w:rPr>
                <w:rFonts w:ascii="Times New Roman" w:eastAsia="Times New Roman" w:hAnsi="Times New Roman" w:cs="Times New Roman"/>
                <w:color w:val="000000"/>
                <w:kern w:val="0"/>
                <w:sz w:val="20"/>
                <w:szCs w:val="20"/>
                <w14:ligatures w14:val="none"/>
              </w:rPr>
              <w:t>ông văn số 9432/BTC-CNTT ngày 27/6/2025, gửi Ủy ban nhân dân các tỉnh, thành phố trực thuộc Trung ương đề nghị các tỉnh, thành phố trực thuộc trung ương phối hợp với Bộ Tài chính để triển khai các hệ thống CNTT phục vụ hoạt động chính quyền địa phương 2 cấp từ 01/7/2025.</w:t>
            </w:r>
          </w:p>
          <w:p w14:paraId="02E5AA42" w14:textId="77777777" w:rsidR="00F435AF" w:rsidRPr="00242CA4"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42CA4">
              <w:rPr>
                <w:rFonts w:ascii="Times New Roman" w:eastAsia="Times New Roman" w:hAnsi="Times New Roman" w:cs="Times New Roman"/>
                <w:color w:val="000000"/>
                <w:kern w:val="0"/>
                <w:sz w:val="20"/>
                <w:szCs w:val="20"/>
                <w14:ligatures w14:val="none"/>
              </w:rPr>
              <w:t>Bên cạnh đó, để đảm bảo hệ thống chính quyền địa phương 2 cấp sau sáp nhập vận hành thông suốt, liên tục, hiệu quả từ ngày 01/7/2025, không để xảy ra tình trạng gián đoạn, Bộ Tài chính đã tiến hành nâng cấp, cập nhật, chỉnh sửa các hệ thống thông tin/phần mềm của ngành Tài chính phục vụ bàn giao, chuyển đổi dữ liệu và vận hành các hệ thống thông tin các cấp theo mô hình tổ chức mới. Đồng thời tiến hành Hội nghị đào tạo trực tiếp, trực tuyến để hướng dẫn cơ quan tài chính đại phương các cấp và cán bộ nghành Tài chính nắm bắt các quy định nghiệp vụ, quy trình xử lý và hệ thống CNTT nhằm tổ chức triển khai đồng bộ, đáp ứng kịp thời yêu cầu của Chính phủ, Bộ Tài chính về vận hành mô hình chính quyền địa phương 2 cấp.</w:t>
            </w:r>
          </w:p>
          <w:p w14:paraId="7E9FE572" w14:textId="37B82222" w:rsidR="00F435AF"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Bộ</w:t>
            </w:r>
            <w:r>
              <w:rPr>
                <w:rFonts w:ascii="Times New Roman" w:eastAsia="Times New Roman" w:hAnsi="Times New Roman" w:cs="Times New Roman"/>
                <w:color w:val="000000"/>
                <w:kern w:val="0"/>
                <w:sz w:val="20"/>
                <w:szCs w:val="20"/>
                <w:lang w:val="vi-VN"/>
                <w14:ligatures w14:val="none"/>
              </w:rPr>
              <w:t xml:space="preserve"> Tài chính</w:t>
            </w:r>
            <w:r w:rsidRPr="00242CA4">
              <w:rPr>
                <w:rFonts w:ascii="Times New Roman" w:eastAsia="Times New Roman" w:hAnsi="Times New Roman" w:cs="Times New Roman"/>
                <w:color w:val="000000"/>
                <w:kern w:val="0"/>
                <w:sz w:val="20"/>
                <w:szCs w:val="20"/>
                <w14:ligatures w14:val="none"/>
              </w:rPr>
              <w:t xml:space="preserve"> đã triển khai đồng loạt các hệ thống đáp ứng mô hình 2 cấp gồm: Nhóm ứng dụng giải quyết TTHC (Hệ thống thông tin quốc gia về đầu tư); Nhóm ứng dụng phục vụ chỉ đạo điều hành (Quản lý văn bản và điều hành, Trục liên thông văn bản ngành Tài chính), Nhóm ứng dụng phục vụ công tác nghiệp vụ (CSDL danh mục dùng chung; Quản lý tài sản nội ngành; CSDL quốc gia về Giá; Phần mềm quản lý tài sản công; Kho CSDL quốc gia về tài sản công; Hệ thống thông tin và cơ sở dữ liệu quốc gia về đầu tư công; Hệ thống thông tin về giám sát, đánh giá đầu tư; Nền tảng tích hợp, chia sẻ dữ liệu số ngành Tài chính)</w:t>
            </w:r>
          </w:p>
        </w:tc>
      </w:tr>
      <w:tr w:rsidR="00F435AF" w:rsidRPr="00CB19B3" w14:paraId="7C8D6A50" w14:textId="57324830" w:rsidTr="00982689">
        <w:trPr>
          <w:trHeight w:val="1680"/>
        </w:trPr>
        <w:tc>
          <w:tcPr>
            <w:tcW w:w="720" w:type="dxa"/>
            <w:shd w:val="clear" w:color="auto" w:fill="auto"/>
            <w:vAlign w:val="center"/>
          </w:tcPr>
          <w:p w14:paraId="724FC5D1" w14:textId="3655C435"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29</w:t>
            </w:r>
          </w:p>
        </w:tc>
        <w:tc>
          <w:tcPr>
            <w:tcW w:w="1350" w:type="dxa"/>
            <w:shd w:val="clear" w:color="auto" w:fill="auto"/>
            <w:vAlign w:val="center"/>
            <w:hideMark/>
          </w:tcPr>
          <w:p w14:paraId="7964D065"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Nam Định</w:t>
            </w:r>
          </w:p>
        </w:tc>
        <w:tc>
          <w:tcPr>
            <w:tcW w:w="6480" w:type="dxa"/>
            <w:shd w:val="clear" w:color="auto" w:fill="auto"/>
            <w:vAlign w:val="center"/>
            <w:hideMark/>
          </w:tcPr>
          <w:p w14:paraId="2B9B9B11"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Về thực hiện Công điện số 95/CĐ-TTg ngày 22/6/2025 của Thủ tướng Chính phủ về việc đảm bảo cơ sở, vật chất cho các cơ quan, tổ chức đơn vị của Nhà nước khi thực hiện sắp xếp, tinh gọn bộ máy, sắp xếp đơn vị hành chính xây dựng mô hình chính quyền địa phương 02 cấp: Nhiều trụ sở của xã, phường dự kiến là trung tâm hành chính công cấp xã đã xuống cấp, tuy nhiên nguồn lực của địa phương còn hạn chế trong khi nhu cầu kinh phí sửa chữa, mua sắm trang thiết bị của các xã, phường (mới) là lớn. Do đó, tỉnh Nam Định đề nghị Bộ Tài chính báo cáo Thủ tướng Chính phủ hỗ trợ kinh phí để cải tạo, sửa chữa, mua sắm trang thiết bị cho địa phương.</w:t>
            </w:r>
          </w:p>
        </w:tc>
        <w:tc>
          <w:tcPr>
            <w:tcW w:w="7560" w:type="dxa"/>
            <w:vAlign w:val="center"/>
          </w:tcPr>
          <w:p w14:paraId="3F084A5B" w14:textId="6F24EA58" w:rsidR="00F435AF" w:rsidRPr="00DD7D32"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A809A3">
              <w:rPr>
                <w:rFonts w:ascii="Times New Roman" w:eastAsia="Times New Roman" w:hAnsi="Times New Roman" w:cs="Times New Roman"/>
                <w:color w:val="000000"/>
                <w:kern w:val="0"/>
                <w:sz w:val="20"/>
                <w:szCs w:val="20"/>
                <w14:ligatures w14:val="none"/>
              </w:rPr>
              <w:t>Bộ Tài chính đã có văn bản số 9390/BTC-NSNN ngày 26/6/2025 đề nghị Tỉnh chủ động sử dụng nguồn NSĐP, nguồn NSTW hỗ trợ và các nguồn tài chính hợp pháp khác để đảm bảo cơ sở, vật chất cho các cơ quan, tổ chức đơn vị của Nhà nước khi thực hiện sắp xếp, tinh gọn bộ máy, sắp xếp đơn vị hành chính xây dựng mô hình chính quyền địa phương 02 cấp. Trường hợp khó khăn về nguồn kinh phí</w:t>
            </w:r>
            <w:r>
              <w:rPr>
                <w:rFonts w:ascii="Times New Roman" w:eastAsia="Times New Roman" w:hAnsi="Times New Roman" w:cs="Times New Roman"/>
                <w:color w:val="000000"/>
                <w:kern w:val="0"/>
                <w:sz w:val="20"/>
                <w:szCs w:val="20"/>
                <w14:ligatures w14:val="none"/>
              </w:rPr>
              <w:t xml:space="preserve">, </w:t>
            </w:r>
            <w:r w:rsidRPr="00A809A3">
              <w:rPr>
                <w:rFonts w:ascii="Times New Roman" w:eastAsia="Times New Roman" w:hAnsi="Times New Roman" w:cs="Times New Roman"/>
                <w:color w:val="000000"/>
                <w:kern w:val="0"/>
                <w:sz w:val="20"/>
                <w:szCs w:val="20"/>
                <w14:ligatures w14:val="none"/>
              </w:rPr>
              <w:t xml:space="preserve">đề nghị </w:t>
            </w:r>
            <w:r>
              <w:rPr>
                <w:rFonts w:ascii="Times New Roman" w:eastAsia="Times New Roman" w:hAnsi="Times New Roman" w:cs="Times New Roman"/>
                <w:color w:val="000000"/>
                <w:kern w:val="0"/>
                <w:sz w:val="20"/>
                <w:szCs w:val="20"/>
                <w:lang w:val="vi-VN"/>
                <w14:ligatures w14:val="none"/>
              </w:rPr>
              <w:t>t</w:t>
            </w:r>
            <w:r w:rsidRPr="00A809A3">
              <w:rPr>
                <w:rFonts w:ascii="Times New Roman" w:eastAsia="Times New Roman" w:hAnsi="Times New Roman" w:cs="Times New Roman"/>
                <w:color w:val="000000"/>
                <w:kern w:val="0"/>
                <w:sz w:val="20"/>
                <w:szCs w:val="20"/>
                <w14:ligatures w14:val="none"/>
              </w:rPr>
              <w:t>ỉnh rà soát, báo cáo nhu cầu kinh phí thực hiện, nguồn lực của địa phương (bao gồm nguồn ngân sách địa phương và các nguồn hợp pháp khác), phần thiếu ngân sách trung ương phải hỗ trợ, gửi về Bộ Tài chính để tổng hợp, báo cáo cấp có thẩm quyền xem xét, xử lý kịp thời.</w:t>
            </w:r>
          </w:p>
        </w:tc>
      </w:tr>
      <w:tr w:rsidR="00F435AF" w:rsidRPr="00CB19B3" w14:paraId="17EEE12C" w14:textId="3C1954A2" w:rsidTr="00982689">
        <w:trPr>
          <w:trHeight w:val="652"/>
        </w:trPr>
        <w:tc>
          <w:tcPr>
            <w:tcW w:w="720" w:type="dxa"/>
            <w:shd w:val="clear" w:color="auto" w:fill="auto"/>
            <w:vAlign w:val="center"/>
          </w:tcPr>
          <w:p w14:paraId="34CF8F07" w14:textId="3B0258F9"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30</w:t>
            </w:r>
          </w:p>
        </w:tc>
        <w:tc>
          <w:tcPr>
            <w:tcW w:w="1350" w:type="dxa"/>
            <w:shd w:val="clear" w:color="auto" w:fill="auto"/>
            <w:vAlign w:val="center"/>
            <w:hideMark/>
          </w:tcPr>
          <w:p w14:paraId="19AED005"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Thái Bình</w:t>
            </w:r>
          </w:p>
        </w:tc>
        <w:tc>
          <w:tcPr>
            <w:tcW w:w="6480" w:type="dxa"/>
            <w:shd w:val="clear" w:color="auto" w:fill="auto"/>
            <w:vAlign w:val="center"/>
            <w:hideMark/>
          </w:tcPr>
          <w:p w14:paraId="626F0670" w14:textId="5072C285"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Thực hiện Công điện số 95/CĐ-TTg ngày 22/6/2025 của Thủ tướng Chính phủ về việc đảm bảo cơ sở, vật chất cho các cơ quan, tổ chức đơn vị của Nhà nước khi thực hiện sắp xếp, tinh gọn bộ máy, sắp xếp đơn vị hành chính xây dựng mô hình chính quyền địa phương 02 cấp; Địa phương đã bố trí kinh phí hỗ trợ các địa phương để cải tạo trụ sở xã, trung tâm hành chính công cấp xã, tuy nhiên tại các địa phương nhiều trụ sở dự kiến là trung tâm hành chính công cấp xã đã xuống cấp; Tuy nhiên nguồn lực của địa phương còn hạn chế trong khi nhu cầu kinh phí sửa chữa, mua sắm trang thiết bị của các xã, phường mới còn lớn; Tỉnh Thái Bình đề nghị Bộ Tài chính, Thủ tướng Chính phủ hỗ trợ cho tỉnh Thái Bình với số tiền là 100 tỷ đồng để cải tạo, sửa chữa, mua sắm trang thiết bị cho các xã, phường, trung tâm hành chính công cấp xã.</w:t>
            </w:r>
          </w:p>
        </w:tc>
        <w:tc>
          <w:tcPr>
            <w:tcW w:w="7560" w:type="dxa"/>
            <w:vAlign w:val="center"/>
          </w:tcPr>
          <w:p w14:paraId="32D0A0F2" w14:textId="2C59618C" w:rsidR="00F435AF" w:rsidRPr="00C22D0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C22D0C">
              <w:rPr>
                <w:rFonts w:ascii="Times New Roman" w:eastAsia="Times New Roman" w:hAnsi="Times New Roman" w:cs="Times New Roman"/>
                <w:color w:val="000000"/>
                <w:kern w:val="0"/>
                <w:sz w:val="20"/>
                <w:szCs w:val="20"/>
                <w14:ligatures w14:val="none"/>
              </w:rPr>
              <w:t>Bộ Tài chính đã có Văn bản số 9835/BTC-NSNN ngày 02/7/2025 gửi UBND tỉnh Thái Bình về nội dung này. Theo đó đề nghị đề nghị Tỉnh chủ động sử dụng nguồn ngân sách địa phương, nguồn ngân sách trung ương hỗ trợ (188,5 tỷ đồng) và các nguồn tài chính hợp pháp khác để đảm bảo cơ sở, vật chất cho các cơ quan, tổ chức đơn vị của Nhà nước khi thực hiện sắp xếp, tinh gọn bộ máy, sắp xếp đơn vị hành chính xây dựng mô hình chính quyền địa phương 02 cấp.</w:t>
            </w:r>
          </w:p>
        </w:tc>
      </w:tr>
      <w:tr w:rsidR="00F435AF" w:rsidRPr="00636D4C" w14:paraId="2821F655" w14:textId="08BB3271" w:rsidTr="00982689">
        <w:trPr>
          <w:trHeight w:val="562"/>
        </w:trPr>
        <w:tc>
          <w:tcPr>
            <w:tcW w:w="720" w:type="dxa"/>
            <w:shd w:val="clear" w:color="auto" w:fill="auto"/>
            <w:noWrap/>
            <w:vAlign w:val="center"/>
          </w:tcPr>
          <w:p w14:paraId="42410C95" w14:textId="277362BD"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31</w:t>
            </w:r>
          </w:p>
        </w:tc>
        <w:tc>
          <w:tcPr>
            <w:tcW w:w="1350" w:type="dxa"/>
            <w:shd w:val="clear" w:color="auto" w:fill="auto"/>
            <w:noWrap/>
            <w:vAlign w:val="center"/>
            <w:hideMark/>
          </w:tcPr>
          <w:p w14:paraId="548C816D" w14:textId="21811A65"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Thái Bình</w:t>
            </w:r>
          </w:p>
        </w:tc>
        <w:tc>
          <w:tcPr>
            <w:tcW w:w="6480" w:type="dxa"/>
            <w:shd w:val="clear" w:color="auto" w:fill="auto"/>
            <w:vAlign w:val="center"/>
            <w:hideMark/>
          </w:tcPr>
          <w:p w14:paraId="74A8E9A6" w14:textId="6B374007" w:rsidR="00F435AF"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Đề nghị các Bộ ngành trung ương theo thẩm quyền ban hành hướng dẫn, giải quyết vướng mắc của địa phương phát sinh trong quá trình triển khai thực hiện mô hình chính quyền địa phương 02 cấp:</w:t>
            </w:r>
          </w:p>
          <w:p w14:paraId="295CF7E4" w14:textId="1D91925E"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1. Đối với công tác đăng ký kinh doanh khi triển khai thực hiện mô hình chính quyền địa phương 02 cấp: Tại văn bản số 7984/BTC-DNTN ngày 09/6/2025 của Bộ Tài chính yêu cầu tổng hợp tên gọi, mã định danh của cơ quan đăng ký kinh doanh cấp tỉnh, cấp xã; danh sách cán bộ đăng ký kinh doanh cấp xã để tổng hợp thông tin cấp tài khoản cập nhật trên hệ thống trước ngày 28/6/2025 nhưng hiện nay đều chưa có quyết định chính thức đối với từng địa phương, cán bộ được phân công phụ trách nên chưa tổng hợp được theo đúng yêu cầu.</w:t>
            </w:r>
          </w:p>
          <w:p w14:paraId="4DA63691"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xml:space="preserve">2. Đối với việc chuyển đổi dữ liệu đăng ký hộ kinh doanh vào Hệ thống thông tin về đăng ký hộ kinh doanh. Ngày 01/4/2025, Sở Tài Chính đã có văn bản số 590/STC-ĐKKD gửi Ủy ban nhân dân các huyện, thành phố về việc chuyển đổi dữ liệu đăng ký hộ kinh doanh theo chỉ đạo của Bộ Tài Chính, Ủy ban nhân dân tỉnh và hoàn thành trước ngày 31/5/2025, nhưng đến nay việc đồng bộ dữ </w:t>
            </w:r>
            <w:r w:rsidRPr="00EF276A">
              <w:rPr>
                <w:rFonts w:ascii="Times New Roman" w:eastAsia="Times New Roman" w:hAnsi="Times New Roman" w:cs="Times New Roman"/>
                <w:color w:val="000000"/>
                <w:kern w:val="0"/>
                <w:sz w:val="20"/>
                <w:szCs w:val="20"/>
                <w:lang w:val="vi-VN"/>
                <w14:ligatures w14:val="none"/>
              </w:rPr>
              <w:lastRenderedPageBreak/>
              <w:t>liệu lên hệ thống của các địa phương tỷ lệ thấp, do vậy khi thực hiện mô hình chính quyền địa phương 2 cấp sẽ gây khó khăn cho cán bộ đăng ký kinh doanh cấp xã cấp thay đổi nội dung và xuất cơ sở dữ liệu trên hệ thống.</w:t>
            </w:r>
          </w:p>
          <w:p w14:paraId="2D4E0F83" w14:textId="58F86E24"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3. Từ ngày 15/6/2025, cơ quan thanh tra thuộc Sở đã chuyển về Thanh tra tỉnh, do vậy trong trường hợp phòng Đăng ký kinh doanh phát hiện các vi phạm của doanh nghiệp theo quy định tại Luật Doanh nghiệp năm 2020 thì chưa được hướng dẫn chuyển hồ sơ vi phạm của doanh nghiệp theo quy định tại Nghị định số 122/2021/NĐ-CP ngày 28/12/2021 của Chính phủ quy định về xử phạt vi phạm hành chính trong lĩnh vực kế hoạch và đầu tư cho đơn vị nào để tiếp nhận, xử lý, giải quyết.</w:t>
            </w:r>
          </w:p>
        </w:tc>
        <w:tc>
          <w:tcPr>
            <w:tcW w:w="7560" w:type="dxa"/>
            <w:vAlign w:val="center"/>
          </w:tcPr>
          <w:p w14:paraId="4104A71B" w14:textId="367E95DE" w:rsidR="00F435AF" w:rsidRPr="00A9447E"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lastRenderedPageBreak/>
              <w:t xml:space="preserve">- </w:t>
            </w:r>
            <w:r w:rsidRPr="00A9447E">
              <w:rPr>
                <w:rFonts w:ascii="Times New Roman" w:eastAsia="Times New Roman" w:hAnsi="Times New Roman" w:cs="Times New Roman"/>
                <w:color w:val="000000"/>
                <w:kern w:val="0"/>
                <w:sz w:val="20"/>
                <w:szCs w:val="20"/>
                <w:lang w:val="vi-VN"/>
                <w14:ligatures w14:val="none"/>
              </w:rPr>
              <w:t xml:space="preserve"> Đối với việc cấp tài khoản cho cán bộ ĐKKD cấp xã, trong thời gian chưa có Phiếu đề nghị chính thức (do chưa có quyết định bổ nhiệm, con dấu...), các địa phương vẫn có thể thực hiện đăng ký tài khoản theo hướng dẫn (theo phương án sắp xếp bộ máy, nhân sự dự kiến của địa phương). Khi có Phiếu đề nghị chính thức, địa phương gửi Phiếu đề nghị về Cục Phát triển doanh nghiệp tư nhân và kinh tế tập thể</w:t>
            </w:r>
            <w:r>
              <w:rPr>
                <w:rFonts w:ascii="Times New Roman" w:eastAsia="Times New Roman" w:hAnsi="Times New Roman" w:cs="Times New Roman"/>
                <w:color w:val="000000"/>
                <w:kern w:val="0"/>
                <w:sz w:val="20"/>
                <w:szCs w:val="20"/>
                <w:lang w:val="vi-VN"/>
                <w14:ligatures w14:val="none"/>
              </w:rPr>
              <w:t>, Bộ Tài chính</w:t>
            </w:r>
            <w:r w:rsidRPr="00A9447E">
              <w:rPr>
                <w:rFonts w:ascii="Times New Roman" w:eastAsia="Times New Roman" w:hAnsi="Times New Roman" w:cs="Times New Roman"/>
                <w:color w:val="000000"/>
                <w:kern w:val="0"/>
                <w:sz w:val="20"/>
                <w:szCs w:val="20"/>
                <w:lang w:val="vi-VN"/>
                <w14:ligatures w14:val="none"/>
              </w:rPr>
              <w:t xml:space="preserve"> để được cập nhật thông tin chính thức.</w:t>
            </w:r>
          </w:p>
          <w:p w14:paraId="6A8B9524" w14:textId="654C32A1" w:rsidR="00F435AF" w:rsidRPr="00A9447E"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w:t>
            </w:r>
            <w:r w:rsidRPr="00A9447E">
              <w:rPr>
                <w:rFonts w:ascii="Times New Roman" w:eastAsia="Times New Roman" w:hAnsi="Times New Roman" w:cs="Times New Roman"/>
                <w:color w:val="000000"/>
                <w:kern w:val="0"/>
                <w:sz w:val="20"/>
                <w:szCs w:val="20"/>
                <w:lang w:val="vi-VN"/>
                <w14:ligatures w14:val="none"/>
              </w:rPr>
              <w:t xml:space="preserve"> Ngày 27/3/2025, Bộ Tài chính đã có </w:t>
            </w:r>
            <w:r>
              <w:rPr>
                <w:rFonts w:ascii="Times New Roman" w:eastAsia="Times New Roman" w:hAnsi="Times New Roman" w:cs="Times New Roman"/>
                <w:color w:val="000000"/>
                <w:kern w:val="0"/>
                <w:sz w:val="20"/>
                <w:szCs w:val="20"/>
                <w:lang w:val="vi-VN"/>
                <w14:ligatures w14:val="none"/>
              </w:rPr>
              <w:t>công văn</w:t>
            </w:r>
            <w:r w:rsidRPr="00A9447E">
              <w:rPr>
                <w:rFonts w:ascii="Times New Roman" w:eastAsia="Times New Roman" w:hAnsi="Times New Roman" w:cs="Times New Roman"/>
                <w:color w:val="000000"/>
                <w:kern w:val="0"/>
                <w:sz w:val="20"/>
                <w:szCs w:val="20"/>
                <w:lang w:val="vi-VN"/>
                <w14:ligatures w14:val="none"/>
              </w:rPr>
              <w:t xml:space="preserve"> số 3878/BTC-DNTN gửi Ủy ban nhân dân các tỉnh, thành phố trực thuộc Trung ương về việc chuyển đổi dữ liệu đăng ký hộ kinh doanh. Hệ thống thông tin về đăng ký hộ kinh doanh đã có các công cụ để hỗ trợ các cơ quan đăng ký kinh doanh chuyển đổi dữ liệu. Các địa phương trong quá trình chuyển đổi nếu có vướng mắc, đề nghị liên hệ với Trung tâm Thông tin doanh nghiệp, kinh tế tập thể, hộ kinh doanh - Cục Phát triển doanh nghiệp tư nhân và kinh tế tập thể</w:t>
            </w:r>
            <w:r>
              <w:rPr>
                <w:rFonts w:ascii="Times New Roman" w:eastAsia="Times New Roman" w:hAnsi="Times New Roman" w:cs="Times New Roman"/>
                <w:color w:val="000000"/>
                <w:kern w:val="0"/>
                <w:sz w:val="20"/>
                <w:szCs w:val="20"/>
                <w:lang w:val="vi-VN"/>
                <w14:ligatures w14:val="none"/>
              </w:rPr>
              <w:t>, Bộ Tài chính</w:t>
            </w:r>
            <w:r w:rsidRPr="00A9447E">
              <w:rPr>
                <w:rFonts w:ascii="Times New Roman" w:eastAsia="Times New Roman" w:hAnsi="Times New Roman" w:cs="Times New Roman"/>
                <w:color w:val="000000"/>
                <w:kern w:val="0"/>
                <w:sz w:val="20"/>
                <w:szCs w:val="20"/>
                <w:lang w:val="vi-VN"/>
                <w14:ligatures w14:val="none"/>
              </w:rPr>
              <w:t xml:space="preserve"> để được hướng dẫn về cách thức sử dụng công cụ chuyển đổi dữ liệu (số điện thoại liên hệ 0243.848.9912, số máy lẻ: 301, 312).</w:t>
            </w:r>
          </w:p>
          <w:p w14:paraId="07E57A39" w14:textId="448B754D" w:rsidR="00F435AF" w:rsidRPr="00A9447E"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lastRenderedPageBreak/>
              <w:t>-</w:t>
            </w:r>
            <w:r w:rsidRPr="00A9447E">
              <w:rPr>
                <w:rFonts w:ascii="Times New Roman" w:eastAsia="Times New Roman" w:hAnsi="Times New Roman" w:cs="Times New Roman"/>
                <w:color w:val="000000"/>
                <w:kern w:val="0"/>
                <w:sz w:val="20"/>
                <w:szCs w:val="20"/>
                <w:lang w:val="vi-VN"/>
                <w14:ligatures w14:val="none"/>
              </w:rPr>
              <w:t xml:space="preserve"> Khoản 2 Điều 2 Luật sửa đổi, bổ sung một số điều của Luật xử phạt vi phạm hành chính 2025 có hiệu lực thi hành từ ngày 01 tháng 7 năm 2025 quy định: “Thẩm quyền xử phạt vi phạm hành chính được thực hiện theo nghị định của Chính phủ về xử phạt vi phạm hành chính trong các lĩnh vực quản lý nhà nước và nghị định của Chính phủ quy định chi tiết Luật Xử lý vi phạm hành chính về thẩm quyền xử phạt vi phạm hành chính cho đến khi có quy định của Chính phủ thay thế, trừ trường hợp quy định tại khoản 3 Điều 3 của Luật này”.</w:t>
            </w:r>
          </w:p>
          <w:p w14:paraId="098E7EA7" w14:textId="77777777" w:rsidR="00F435AF" w:rsidRPr="00A9447E"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A9447E">
              <w:rPr>
                <w:rFonts w:ascii="Times New Roman" w:eastAsia="Times New Roman" w:hAnsi="Times New Roman" w:cs="Times New Roman"/>
                <w:color w:val="000000"/>
                <w:kern w:val="0"/>
                <w:sz w:val="20"/>
                <w:szCs w:val="20"/>
                <w:lang w:val="vi-VN"/>
                <w14:ligatures w14:val="none"/>
              </w:rPr>
              <w:t>Khoản 3 Điều 2 Luật sửa đổi, bổ sung một số điều của Luật xử phạt vi phạm hành chính 2025 quy định: “Chủ tịch Ủy ban nhân dân cấp xã thực hiện thẩm quyền trong xử phạt vi phạm hành chính của Chủ tịch Ủy ban nhân dân cấp huyện, Trưởng Công an cấp xã thực hiện thẩm quyền trong xử phạt vi phạm hành chính của Trưởng Công an cấp huyện theo nghị định của Chính phủ về xử phạt vi phạm hành chính trong các lĩnh vực quản lý nhà nước cho đến khi có quy định của Chính phủ thay thế hoặc nghị định của Chính phủ quy định chi tiết Luật Xử lý vi phạm hành chính về thẩm quyền xử phạt vi phạm hành chính có hiệu lực thi hành”.</w:t>
            </w:r>
          </w:p>
          <w:p w14:paraId="108ADA51" w14:textId="65DE15BE" w:rsidR="00F435AF" w:rsidRPr="00210B58"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A9447E">
              <w:rPr>
                <w:rFonts w:ascii="Times New Roman" w:eastAsia="Times New Roman" w:hAnsi="Times New Roman" w:cs="Times New Roman"/>
                <w:color w:val="000000"/>
                <w:kern w:val="0"/>
                <w:sz w:val="20"/>
                <w:szCs w:val="20"/>
                <w:lang w:val="vi-VN"/>
                <w14:ligatures w14:val="none"/>
              </w:rPr>
              <w:t>Điều 74 Nghị định số 122/2021/NĐ-CP ngày 28/12/2021 của Chính phủ quy định về xử phạt vi phạm hành chính trong lĩnh vực kế hoạch và đầu tư quy định thẩm quyền xử phạt của Ủy ban nhân dân các cấp</w:t>
            </w:r>
            <w:r>
              <w:rPr>
                <w:rFonts w:ascii="Times New Roman" w:eastAsia="Times New Roman" w:hAnsi="Times New Roman" w:cs="Times New Roman"/>
                <w:color w:val="000000"/>
                <w:kern w:val="0"/>
                <w:sz w:val="20"/>
                <w:szCs w:val="20"/>
                <w:lang w:val="vi-VN"/>
                <w14:ligatures w14:val="none"/>
              </w:rPr>
              <w:t>.  Do đó, đ</w:t>
            </w:r>
            <w:r w:rsidRPr="00A9447E">
              <w:rPr>
                <w:rFonts w:ascii="Times New Roman" w:eastAsia="Times New Roman" w:hAnsi="Times New Roman" w:cs="Times New Roman"/>
                <w:color w:val="000000"/>
                <w:kern w:val="0"/>
                <w:sz w:val="20"/>
                <w:szCs w:val="20"/>
                <w:lang w:val="vi-VN"/>
                <w14:ligatures w14:val="none"/>
              </w:rPr>
              <w:t>ề nghị Sở Tài chính tham khảo thêm ý kiến Thanh tra tỉnh.</w:t>
            </w:r>
          </w:p>
        </w:tc>
      </w:tr>
      <w:tr w:rsidR="00F435AF" w:rsidRPr="00636D4C" w14:paraId="54B07471" w14:textId="39E610EB" w:rsidTr="00982689">
        <w:trPr>
          <w:trHeight w:val="2029"/>
        </w:trPr>
        <w:tc>
          <w:tcPr>
            <w:tcW w:w="720" w:type="dxa"/>
            <w:shd w:val="clear" w:color="auto" w:fill="auto"/>
            <w:vAlign w:val="center"/>
          </w:tcPr>
          <w:p w14:paraId="39F3D21A" w14:textId="5A13AAC0"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32</w:t>
            </w:r>
          </w:p>
        </w:tc>
        <w:tc>
          <w:tcPr>
            <w:tcW w:w="1350" w:type="dxa"/>
            <w:shd w:val="clear" w:color="auto" w:fill="auto"/>
            <w:vAlign w:val="center"/>
            <w:hideMark/>
          </w:tcPr>
          <w:p w14:paraId="59D00443"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Vĩnh Phúc</w:t>
            </w:r>
          </w:p>
        </w:tc>
        <w:tc>
          <w:tcPr>
            <w:tcW w:w="6480" w:type="dxa"/>
            <w:shd w:val="clear" w:color="auto" w:fill="auto"/>
            <w:vAlign w:val="center"/>
            <w:hideMark/>
          </w:tcPr>
          <w:p w14:paraId="2538F6CC"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 Hiện tại, quy mô, điều kiện cơ sở vật chất, tài sản, trụ sở của đơn vị cũ đã xuống cấp, hệ thống cơ sở vật chất nơi còn “nhỏ lẻ” không phù hợp với tính chất, đặc điểm, quy mô của đơn vị hành chính mới do cơ cấu tổ chức bộ máy mới và chức năng, nhiệm vụ đơn vị hành chính mới lớn và khác hơn nhiều so với trước đây.</w:t>
            </w:r>
          </w:p>
          <w:p w14:paraId="1E03C0BA" w14:textId="18E1B066"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Hồ sơ tài liệu của các xã, phường phần lớn chưa được chỉnh lý, số hóa nên việc lưu trữ, khai thác, sử dụng phục vụ công việc còn gặp khó khăn.</w:t>
            </w:r>
          </w:p>
          <w:p w14:paraId="1C406FDC" w14:textId="0EC7B1FC"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UBND tỉnh Vĩnh Phúc đề nghị Bộ Tài chính trình Chính phủ hỗ trợ nguồn vốn để sửa chữa, nâng cấp trụ sở, mua sắm tài sản, trang thiết bị, chỉnh lý và số hóa hồ sơ tài liệu lưu trữ… phục vụ hoạt động thường xuyên của 36 xã, phường mới sau sắp xếp 108 tỷ đồng (bình quân 3 tỷ đồng/xã).</w:t>
            </w:r>
          </w:p>
        </w:tc>
        <w:tc>
          <w:tcPr>
            <w:tcW w:w="7560" w:type="dxa"/>
            <w:vAlign w:val="center"/>
          </w:tcPr>
          <w:p w14:paraId="56C8C9F2" w14:textId="012E1DD0" w:rsidR="00F435AF" w:rsidRPr="002925D8"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2925D8">
              <w:rPr>
                <w:rFonts w:ascii="Times New Roman" w:eastAsia="Times New Roman" w:hAnsi="Times New Roman" w:cs="Times New Roman"/>
                <w:color w:val="000000"/>
                <w:kern w:val="0"/>
                <w:sz w:val="20"/>
                <w:szCs w:val="20"/>
                <w:lang w:val="vi-VN"/>
                <w14:ligatures w14:val="none"/>
              </w:rPr>
              <w:t>Đề nghị địa phương căn cứ Công điện số 95/CĐ-TTg ngày 22/6/2025 của Thủ tướng Chính phủ về việc đảm bảo cơ sở, vật chất cho các cơ quan, tổ chức đơn vị của Nhà nước khi thực hiện sắp xếp, tinh gọn bộ máy, sắp xếp ĐVHC xây dựng mô hình CQĐP 02 cấp để triển khai thực hiện. Trường hợp khó khăn về nguồn kinh phí thì đề nghị các địa phương rà soát, báo cáo theo đúng chỉ đạo của Thủ tướng Chính phủ tại Công điện số 95/CĐ-TTg. Trước mắt, đề nghị Tỉnh chủ động sử dụng nguồn NSĐP và các nguồn tài chính hợp pháp khác để thực hiện.</w:t>
            </w:r>
          </w:p>
          <w:p w14:paraId="4A23E9C0" w14:textId="3450580F" w:rsidR="00F435AF" w:rsidRPr="00EF276A"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2925D8">
              <w:rPr>
                <w:rFonts w:ascii="Times New Roman" w:eastAsia="Times New Roman" w:hAnsi="Times New Roman" w:cs="Times New Roman"/>
                <w:color w:val="000000"/>
                <w:kern w:val="0"/>
                <w:sz w:val="20"/>
                <w:szCs w:val="20"/>
                <w:lang w:val="vi-VN"/>
                <w14:ligatures w14:val="none"/>
              </w:rPr>
              <w:t xml:space="preserve">Đối với kinh phí số hóa tài liệu lưu trữ: Đề nghị </w:t>
            </w:r>
            <w:r>
              <w:rPr>
                <w:rFonts w:ascii="Times New Roman" w:eastAsia="Times New Roman" w:hAnsi="Times New Roman" w:cs="Times New Roman"/>
                <w:color w:val="000000"/>
                <w:kern w:val="0"/>
                <w:sz w:val="20"/>
                <w:szCs w:val="20"/>
                <w:lang w:val="vi-VN"/>
                <w14:ligatures w14:val="none"/>
              </w:rPr>
              <w:t>t</w:t>
            </w:r>
            <w:r w:rsidRPr="002925D8">
              <w:rPr>
                <w:rFonts w:ascii="Times New Roman" w:eastAsia="Times New Roman" w:hAnsi="Times New Roman" w:cs="Times New Roman"/>
                <w:color w:val="000000"/>
                <w:kern w:val="0"/>
                <w:sz w:val="20"/>
                <w:szCs w:val="20"/>
                <w:lang w:val="vi-VN"/>
                <w14:ligatures w14:val="none"/>
              </w:rPr>
              <w:t>ỉnh báo cáo Bộ Nội vụ</w:t>
            </w:r>
            <w:r w:rsidRPr="003B1E43">
              <w:rPr>
                <w:rFonts w:ascii="Times New Roman" w:eastAsia="Times New Roman" w:hAnsi="Times New Roman" w:cs="Times New Roman"/>
                <w:color w:val="000000"/>
                <w:kern w:val="0"/>
                <w:sz w:val="20"/>
                <w:szCs w:val="20"/>
                <w:lang w:val="vi-VN"/>
                <w14:ligatures w14:val="none"/>
              </w:rPr>
              <w:t xml:space="preserve"> để xem xét, hướng dẫn</w:t>
            </w:r>
            <w:r w:rsidRPr="002925D8">
              <w:rPr>
                <w:rFonts w:ascii="Times New Roman" w:eastAsia="Times New Roman" w:hAnsi="Times New Roman" w:cs="Times New Roman"/>
                <w:color w:val="000000"/>
                <w:kern w:val="0"/>
                <w:sz w:val="20"/>
                <w:szCs w:val="20"/>
                <w:lang w:val="vi-VN"/>
                <w14:ligatures w14:val="none"/>
              </w:rPr>
              <w:t>.</w:t>
            </w:r>
          </w:p>
        </w:tc>
      </w:tr>
      <w:tr w:rsidR="00F435AF" w:rsidRPr="00636D4C" w14:paraId="5DC683C8" w14:textId="5ECB578B" w:rsidTr="00982689">
        <w:trPr>
          <w:trHeight w:val="840"/>
        </w:trPr>
        <w:tc>
          <w:tcPr>
            <w:tcW w:w="720" w:type="dxa"/>
            <w:shd w:val="clear" w:color="auto" w:fill="auto"/>
            <w:vAlign w:val="center"/>
          </w:tcPr>
          <w:p w14:paraId="11F8F461" w14:textId="3EFEDF4A"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33</w:t>
            </w:r>
          </w:p>
        </w:tc>
        <w:tc>
          <w:tcPr>
            <w:tcW w:w="1350" w:type="dxa"/>
            <w:shd w:val="clear" w:color="auto" w:fill="auto"/>
            <w:vAlign w:val="center"/>
            <w:hideMark/>
          </w:tcPr>
          <w:p w14:paraId="16C3D986" w14:textId="5E718032"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Thanh Hóa</w:t>
            </w:r>
          </w:p>
        </w:tc>
        <w:tc>
          <w:tcPr>
            <w:tcW w:w="6480" w:type="dxa"/>
            <w:shd w:val="clear" w:color="auto" w:fill="auto"/>
            <w:vAlign w:val="center"/>
            <w:hideMark/>
          </w:tcPr>
          <w:p w14:paraId="727CAA91"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Đề nghị Bộ Tài chính có văn bản hướng dẫn cụ thể việc đối chiếu, xác nhận số liệu thu, chi NSNN và bàn giao tài chính, ngân sách đối với trường hợp đến hết ngày 30/6/2025 các huyện, thị xã, thành phố chưa xác định được chính xác số liệu bàn giao do hệ thống thuế điện tử bị tạm dừng và hướng dẫn việc điều chỉnh số liệu quyết toán NSĐP các cấp sau khi có kiến nghị của Kiểm toán nhà nước.</w:t>
            </w:r>
          </w:p>
        </w:tc>
        <w:tc>
          <w:tcPr>
            <w:tcW w:w="7560" w:type="dxa"/>
            <w:vAlign w:val="center"/>
          </w:tcPr>
          <w:p w14:paraId="1B9DC2F1" w14:textId="615235E0" w:rsidR="00F435AF" w:rsidRPr="00266300"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1. </w:t>
            </w:r>
            <w:r w:rsidRPr="00266300">
              <w:rPr>
                <w:rFonts w:ascii="Times New Roman" w:eastAsia="Times New Roman" w:hAnsi="Times New Roman" w:cs="Times New Roman"/>
                <w:color w:val="000000"/>
                <w:kern w:val="0"/>
                <w:sz w:val="20"/>
                <w:szCs w:val="20"/>
                <w14:ligatures w14:val="none"/>
              </w:rPr>
              <w:t xml:space="preserve">Để đáp ứng việc sắp xếp địa bàn hành chính tỉnh, </w:t>
            </w:r>
            <w:r>
              <w:rPr>
                <w:rFonts w:ascii="Times New Roman" w:eastAsia="Times New Roman" w:hAnsi="Times New Roman" w:cs="Times New Roman"/>
                <w:color w:val="000000"/>
                <w:kern w:val="0"/>
                <w:sz w:val="20"/>
                <w:szCs w:val="20"/>
                <w14:ligatures w14:val="none"/>
              </w:rPr>
              <w:t>Kho bạc Nhà nước (</w:t>
            </w:r>
            <w:r w:rsidRPr="00266300">
              <w:rPr>
                <w:rFonts w:ascii="Times New Roman" w:eastAsia="Times New Roman" w:hAnsi="Times New Roman" w:cs="Times New Roman"/>
                <w:color w:val="000000"/>
                <w:kern w:val="0"/>
                <w:sz w:val="20"/>
                <w:szCs w:val="20"/>
                <w14:ligatures w14:val="none"/>
              </w:rPr>
              <w:t>KBNN</w:t>
            </w:r>
            <w:r>
              <w:rPr>
                <w:rFonts w:ascii="Times New Roman" w:eastAsia="Times New Roman" w:hAnsi="Times New Roman" w:cs="Times New Roman"/>
                <w:color w:val="000000"/>
                <w:kern w:val="0"/>
                <w:sz w:val="20"/>
                <w:szCs w:val="20"/>
                <w14:ligatures w14:val="none"/>
              </w:rPr>
              <w:t>)</w:t>
            </w:r>
            <w:r w:rsidRPr="00266300">
              <w:rPr>
                <w:rFonts w:ascii="Times New Roman" w:eastAsia="Times New Roman" w:hAnsi="Times New Roman" w:cs="Times New Roman"/>
                <w:color w:val="000000"/>
                <w:kern w:val="0"/>
                <w:sz w:val="20"/>
                <w:szCs w:val="20"/>
                <w14:ligatures w14:val="none"/>
              </w:rPr>
              <w:t xml:space="preserve"> đã thực hiện sắp xếp lại mô hình 20 KBNN khu vực phù hợp với 34 tỉnh, thành phố và triển khai hướng dẫn toàn hệ thống chuyển đổi số liệu thu, chi ngân sách các cấp phục vụ sắp xếp lại địa bàn hành chính và tổ chức mô hình chính quyền địa phương 02 cấp. Trong đó, tại điểm 1.1 mục II Công văn số 5569/KBNN-CSPC ngày 12/6/2025 của KBNN hướng dẫn KBNN khu vực nguyên tắc bàn giao tài liệu, số liệu, chuyển đổi dữ liệu, quy trình nghiệp vụ đối với </w:t>
            </w:r>
            <w:r w:rsidRPr="00266300">
              <w:rPr>
                <w:rFonts w:ascii="Times New Roman" w:eastAsia="Times New Roman" w:hAnsi="Times New Roman" w:cs="Times New Roman"/>
                <w:color w:val="000000"/>
                <w:kern w:val="0"/>
                <w:sz w:val="20"/>
                <w:szCs w:val="20"/>
                <w14:ligatures w14:val="none"/>
              </w:rPr>
              <w:lastRenderedPageBreak/>
              <w:t>sắp xếp, tổ chức lại đơn vị hành chính cấp xã, giải thể đơn vị hành chính cấp huyện hướng dẫn:</w:t>
            </w:r>
          </w:p>
          <w:p w14:paraId="0E4C64F4" w14:textId="1124A992" w:rsidR="00F435AF" w:rsidRPr="00266300"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66300">
              <w:rPr>
                <w:rFonts w:ascii="Times New Roman" w:eastAsia="Times New Roman" w:hAnsi="Times New Roman" w:cs="Times New Roman"/>
                <w:color w:val="000000"/>
                <w:kern w:val="0"/>
                <w:sz w:val="20"/>
                <w:szCs w:val="20"/>
                <w14:ligatures w14:val="none"/>
              </w:rPr>
              <w:t>“Các đơn vị KBNN giao dịch tổng hợp các báo cáo tài chính theo mẫu biểu quy định tại Thông tư số 77/2017/TT-BTC, Thông tư số 19/2020/TT-BTC để cung cấp số liệu chuyển đổi khi sáp nhập xã, bỏ cấp huyện cho Phòng Tài chính cấp huyện, UBND cấp xã trước thời điểm tổ chức lại ĐVHC xã, huyện. Trường hợp Phòng Tài chính cấp huyện, UBND cấp xã gửi đối chiếu số liệu thu, chi ngân sách huyện, xã, … KBNN giao dịch đối chiếu, xác nhận số liệu theo đề nghị của đơn vị.</w:t>
            </w:r>
          </w:p>
          <w:p w14:paraId="23C9B078" w14:textId="77777777" w:rsidR="00F435AF" w:rsidRPr="00266300"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66300">
              <w:rPr>
                <w:rFonts w:ascii="Times New Roman" w:eastAsia="Times New Roman" w:hAnsi="Times New Roman" w:cs="Times New Roman"/>
                <w:color w:val="000000"/>
                <w:kern w:val="0"/>
                <w:sz w:val="20"/>
                <w:szCs w:val="20"/>
                <w14:ligatures w14:val="none"/>
              </w:rPr>
              <w:t>- Đối chiếu dự toán, tình hình sử dụng kinh phí ngân sách bằng hình thức rút dự toán với ĐVSDNS; Đối chiếu dự toán, tình hình sử dụng kinh phí ngân sách bằng hình thức lệnh chi tiền với cơ quan tài chính; đối chiếu tài khoản tiền gửi theo các mẫu biều quy định tại Nghị định số 11/2020/NĐ-CP ngày 20/01/2020 của Chính phủ về thủ tục hành chính thuộc lĩnh vực KBNN.”</w:t>
            </w:r>
          </w:p>
          <w:p w14:paraId="0B83BE8B" w14:textId="468A12FE" w:rsidR="00F435AF" w:rsidRPr="00266300"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66300">
              <w:rPr>
                <w:rFonts w:ascii="Times New Roman" w:eastAsia="Times New Roman" w:hAnsi="Times New Roman" w:cs="Times New Roman"/>
                <w:color w:val="000000"/>
                <w:kern w:val="0"/>
                <w:sz w:val="20"/>
                <w:szCs w:val="20"/>
                <w14:ligatures w14:val="none"/>
              </w:rPr>
              <w:t>Qua trao đổi với KBNN khu vực XI (đơn vị thực hiện chức năng, nhiệm vụ của KBNN tại tỉnh Thanh Hóa), KBNN khu vực XI đã thực hiện đầy đủ các nội dung theo hướng dẫn nêu trên; KBNN khu vực XI đã trao đổi lại với Sở Tài chính tỉnh Thanh Hóa làm rõ vướng mắc của tỉnh như sau: Kể từ ngày 01/7/2025, các đơn vị thuộc ngân sách cấp huyện không còn hoạt động, do đó Sở Tài chính tỉnh Thanh Hóa không còn đầu mối để thực hiện tổng hợp dự toán, thu, chi ngân sách. Đồng thời, khi bỏ cấp huyện thì các kiến nghị của Kiểm toán nhà nước sẽ do ai thay huyện thực hiện.</w:t>
            </w:r>
          </w:p>
          <w:p w14:paraId="583190E5" w14:textId="5940375A" w:rsidR="00F435AF" w:rsidRPr="00266300"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66300">
              <w:rPr>
                <w:rFonts w:ascii="Times New Roman" w:eastAsia="Times New Roman" w:hAnsi="Times New Roman" w:cs="Times New Roman"/>
                <w:color w:val="000000"/>
                <w:kern w:val="0"/>
                <w:sz w:val="20"/>
                <w:szCs w:val="20"/>
                <w14:ligatures w14:val="none"/>
              </w:rPr>
              <w:t xml:space="preserve">- Đối với vướng mắc về đầu mối để thực hiện tổng hợp dự toán, thu, chi ngân sách địa phương năm 2025 trước khi sắp xếp tổ chức bộ máy: </w:t>
            </w:r>
          </w:p>
          <w:p w14:paraId="00907617" w14:textId="3A0762A8" w:rsidR="00F435AF" w:rsidRPr="00266300"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66300">
              <w:rPr>
                <w:rFonts w:ascii="Times New Roman" w:eastAsia="Times New Roman" w:hAnsi="Times New Roman" w:cs="Times New Roman"/>
                <w:color w:val="000000"/>
                <w:kern w:val="0"/>
                <w:sz w:val="20"/>
                <w:szCs w:val="20"/>
                <w14:ligatures w14:val="none"/>
              </w:rPr>
              <w:t xml:space="preserve">Tại tiết 2.1 điểm 2 mục II Công văn số 4205/BTC-NSNN ngày 02/4/2025 của Bộ Tài chính về việc hướng dẫn nguyên tắc xử lý tài chính, NSNN khi tổ chức lại đơn vị hành chính các cấp và xây dựng mô hình tổ chức chính quyền địa phương 02 cấp như sau: </w:t>
            </w:r>
          </w:p>
          <w:p w14:paraId="410EFC1D" w14:textId="48608C57" w:rsidR="00F435AF" w:rsidRPr="00266300"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66300">
              <w:rPr>
                <w:rFonts w:ascii="Times New Roman" w:eastAsia="Times New Roman" w:hAnsi="Times New Roman" w:cs="Times New Roman"/>
                <w:color w:val="000000"/>
                <w:kern w:val="0"/>
                <w:sz w:val="20"/>
                <w:szCs w:val="20"/>
                <w14:ligatures w14:val="none"/>
              </w:rPr>
              <w:t xml:space="preserve"> “Căn cứ Đề án sắp xếp, UBND cấp tỉnh hướng dẫn các đơn vị dự toán ngân sách trực thuộc và chính quyền địa phương cấp dưới thực hiện bàn giao, tiếp nhận dự toán ngân sách nhà nước năm 2025 với một số định hướng như sau: </w:t>
            </w:r>
          </w:p>
          <w:p w14:paraId="76EAC15F" w14:textId="5A7B28EC" w:rsidR="00F435AF" w:rsidRPr="00266300"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lang w:val="vi-VN"/>
                <w14:ligatures w14:val="none"/>
              </w:rPr>
              <w:t>-</w:t>
            </w:r>
            <w:r w:rsidRPr="00266300">
              <w:rPr>
                <w:rFonts w:ascii="Times New Roman" w:eastAsia="Times New Roman" w:hAnsi="Times New Roman" w:cs="Times New Roman"/>
                <w:color w:val="000000"/>
                <w:kern w:val="0"/>
                <w:sz w:val="20"/>
                <w:szCs w:val="20"/>
                <w14:ligatures w14:val="none"/>
              </w:rPr>
              <w:t xml:space="preserve"> Ủy ban nhân dân từng cấp rà soát dự toán thu, chi ngân sách cấp mình, bao gồm dự toán đã được cấp có thẩm quyền giao, dự toán dự kiến thực hiện đến thời điểm sắp xếp. </w:t>
            </w:r>
          </w:p>
          <w:p w14:paraId="270940D7" w14:textId="41DDC066" w:rsidR="00F435AF" w:rsidRPr="00266300"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66300">
              <w:rPr>
                <w:rFonts w:ascii="Times New Roman" w:eastAsia="Times New Roman" w:hAnsi="Times New Roman" w:cs="Times New Roman"/>
                <w:color w:val="000000"/>
                <w:kern w:val="0"/>
                <w:sz w:val="20"/>
                <w:szCs w:val="20"/>
                <w14:ligatures w14:val="none"/>
              </w:rPr>
              <w:t>- Việc tổng hợp dự toán thu, chi ngân sách và dự kiến thực hiện đến thời điểm sắp xếp được tổng hợp từ dưới lên (phòng Tài chính - Kế hoạch huyện tổng hợp ngân sách huyện bao gồm ngân sách cấp huyện và ngân sách từng xã, Sở Tài chính tổng hợp ngân sách tỉnh bao gồm ngân sách cấp tỉnh và ngân sách từng huyện.”</w:t>
            </w:r>
          </w:p>
          <w:p w14:paraId="39EA65CF" w14:textId="194E85C4" w:rsidR="00F435AF" w:rsidRPr="00A4502A" w:rsidRDefault="00F435AF" w:rsidP="00F435AF">
            <w:pPr>
              <w:spacing w:after="40" w:line="240" w:lineRule="auto"/>
              <w:jc w:val="both"/>
              <w:rPr>
                <w:rFonts w:ascii="Times New Roman" w:eastAsia="Times New Roman" w:hAnsi="Times New Roman" w:cs="Times New Roman"/>
                <w:i/>
                <w:iCs/>
                <w:color w:val="000000" w:themeColor="text1"/>
                <w:kern w:val="0"/>
                <w:sz w:val="20"/>
                <w:szCs w:val="20"/>
                <w:lang w:val="vi-VN"/>
                <w14:ligatures w14:val="none"/>
              </w:rPr>
            </w:pPr>
            <w:r w:rsidRPr="00A4502A">
              <w:rPr>
                <w:rFonts w:ascii="Times New Roman" w:eastAsia="Times New Roman" w:hAnsi="Times New Roman" w:cs="Times New Roman"/>
                <w:color w:val="000000" w:themeColor="text1"/>
                <w:kern w:val="0"/>
                <w:sz w:val="20"/>
                <w:szCs w:val="20"/>
                <w14:ligatures w14:val="none"/>
              </w:rPr>
              <w:lastRenderedPageBreak/>
              <w:t>Về vướng mắc này và vướng mắc chung khi bỏ cấp huyện thì các kiến nghị của Kiểm toán nhà nước sẽ do ai thay huyện thực hiện</w:t>
            </w:r>
            <w:r w:rsidRPr="00A4502A">
              <w:rPr>
                <w:rFonts w:ascii="Times New Roman" w:eastAsia="Times New Roman" w:hAnsi="Times New Roman" w:cs="Times New Roman"/>
                <w:color w:val="000000" w:themeColor="text1"/>
                <w:kern w:val="0"/>
                <w:sz w:val="20"/>
                <w:szCs w:val="20"/>
                <w:lang w:val="vi-VN"/>
                <w14:ligatures w14:val="none"/>
              </w:rPr>
              <w:t>, đ</w:t>
            </w:r>
            <w:r w:rsidRPr="00A4502A">
              <w:rPr>
                <w:rFonts w:ascii="Times New Roman" w:eastAsia="Times New Roman" w:hAnsi="Times New Roman" w:cs="Times New Roman"/>
                <w:color w:val="000000" w:themeColor="text1"/>
                <w:kern w:val="0"/>
                <w:sz w:val="20"/>
                <w:szCs w:val="20"/>
                <w14:ligatures w14:val="none"/>
              </w:rPr>
              <w:t>ề nghị thực hiện theo hướng dẫn tại Văn bản số 4205/BTCNSNN ngày 02/4/2025 của Bộ Tài chính</w:t>
            </w:r>
            <w:r w:rsidRPr="00A4502A">
              <w:rPr>
                <w:rFonts w:ascii="Times New Roman" w:eastAsia="Times New Roman" w:hAnsi="Times New Roman" w:cs="Times New Roman"/>
                <w:color w:val="000000" w:themeColor="text1"/>
                <w:kern w:val="0"/>
                <w:sz w:val="20"/>
                <w:szCs w:val="20"/>
                <w:lang w:val="vi-VN"/>
                <w14:ligatures w14:val="none"/>
              </w:rPr>
              <w:t>.</w:t>
            </w:r>
          </w:p>
        </w:tc>
      </w:tr>
      <w:tr w:rsidR="00F435AF" w:rsidRPr="00636D4C" w14:paraId="730495E7" w14:textId="705088C4" w:rsidTr="00982689">
        <w:trPr>
          <w:trHeight w:val="560"/>
        </w:trPr>
        <w:tc>
          <w:tcPr>
            <w:tcW w:w="720" w:type="dxa"/>
            <w:shd w:val="clear" w:color="auto" w:fill="auto"/>
            <w:noWrap/>
            <w:vAlign w:val="center"/>
          </w:tcPr>
          <w:p w14:paraId="23BA818D" w14:textId="01C4F72F"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lastRenderedPageBreak/>
              <w:t>34</w:t>
            </w:r>
          </w:p>
        </w:tc>
        <w:tc>
          <w:tcPr>
            <w:tcW w:w="1350" w:type="dxa"/>
            <w:shd w:val="clear" w:color="auto" w:fill="auto"/>
            <w:noWrap/>
            <w:vAlign w:val="center"/>
            <w:hideMark/>
          </w:tcPr>
          <w:p w14:paraId="4508B54C" w14:textId="2A00E220"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Thanh Hóa</w:t>
            </w:r>
          </w:p>
        </w:tc>
        <w:tc>
          <w:tcPr>
            <w:tcW w:w="6480" w:type="dxa"/>
            <w:shd w:val="clear" w:color="auto" w:fill="auto"/>
            <w:vAlign w:val="center"/>
            <w:hideMark/>
          </w:tcPr>
          <w:p w14:paraId="7A1FEB7D" w14:textId="3BE34D31"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Đề nghị Bộ Tài chính kịp thời rà soát, sửa đổi, bổ sung các quy định, chính sách đảm bảo phù hợp với mô hình chính quyền địa phương 02 cấp (bao gồm cả các Thông tư hướng dẫn thực hiện chính sách hỗ trợ tiền điện cho hộ nghèo, hộ chính sách xã hội).</w:t>
            </w:r>
          </w:p>
        </w:tc>
        <w:tc>
          <w:tcPr>
            <w:tcW w:w="7560" w:type="dxa"/>
            <w:vAlign w:val="center"/>
          </w:tcPr>
          <w:p w14:paraId="2C95354E" w14:textId="12208C00"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Về việc rà soát, sửa đổi, bổ sung các quy định, chính sách phù hợp với mô hình CQĐP 02 cấp:</w:t>
            </w:r>
          </w:p>
          <w:p w14:paraId="479DA9A1" w14:textId="259A53FF"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 Bộ Tài chính đã tham</w:t>
            </w:r>
            <w:r>
              <w:rPr>
                <w:rFonts w:ascii="Times New Roman" w:eastAsia="Times New Roman" w:hAnsi="Times New Roman" w:cs="Times New Roman"/>
                <w:color w:val="000000"/>
                <w:kern w:val="0"/>
                <w:sz w:val="20"/>
                <w:szCs w:val="20"/>
                <w:lang w:val="vi-VN"/>
                <w14:ligatures w14:val="none"/>
              </w:rPr>
              <w:t xml:space="preserve"> mưu</w:t>
            </w:r>
            <w:r w:rsidRPr="00636D4C">
              <w:rPr>
                <w:rFonts w:ascii="Times New Roman" w:eastAsia="Times New Roman" w:hAnsi="Times New Roman" w:cs="Times New Roman"/>
                <w:color w:val="000000"/>
                <w:kern w:val="0"/>
                <w:sz w:val="20"/>
                <w:szCs w:val="20"/>
                <w:lang w:val="vi-VN"/>
                <w14:ligatures w14:val="none"/>
              </w:rPr>
              <w:t xml:space="preserve"> Chính phủ trình Quốc hội ban hành Luật số 90/2025/QH15 ngày 25/6/2025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14:paraId="23598CFA" w14:textId="0E1DBAF7"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 Bộ Tài chính đã trình cấp có thẩm quyền ban hành và ban hành theo thẩm quyền các văn bản quy phạm pháp luật liên quan đến quản lý, sử dụng tài sản công để các địa phương thuận lợi trong thực hiện các công việc liên quan sắp xếp, xử lý tài sản công khi thực hiện mô hình chính quyền địa phương 02 cấp.</w:t>
            </w:r>
          </w:p>
          <w:p w14:paraId="1EF12BD5" w14:textId="5C5333E0"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Về chính sách hỗ trợ tiền điện cho hộ nghèo, hộ chính sách xã hội:</w:t>
            </w:r>
          </w:p>
          <w:p w14:paraId="5C9BCDD9" w14:textId="1DEDD0C5" w:rsidR="00F435AF" w:rsidRPr="00394228"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 xml:space="preserve">- </w:t>
            </w:r>
            <w:r w:rsidRPr="00394228">
              <w:rPr>
                <w:rFonts w:ascii="Times New Roman" w:eastAsia="Times New Roman" w:hAnsi="Times New Roman" w:cs="Times New Roman"/>
                <w:color w:val="000000"/>
                <w:kern w:val="0"/>
                <w:sz w:val="20"/>
                <w:szCs w:val="20"/>
                <w:lang w:val="vi-VN"/>
                <w14:ligatures w14:val="none"/>
              </w:rPr>
              <w:t>Theo phân cấp quản lý đối tượng, các địa phương đang phân cấp cho cấp huyện chi trả một số chế độ chính sách (chế độ bảo trợ xã hội, người có công với cách mạng,…). Từ 01/7/2025, chấm dứt hoạt động của cấp huyện, theo đó đơn vị chi trả chính sách, chế độ cho các đối tượng do tỉnh quyết định.</w:t>
            </w:r>
          </w:p>
        </w:tc>
      </w:tr>
      <w:tr w:rsidR="00F435AF" w:rsidRPr="00CB19B3" w14:paraId="7C7DE733" w14:textId="6034E768" w:rsidTr="00982689">
        <w:trPr>
          <w:trHeight w:val="840"/>
        </w:trPr>
        <w:tc>
          <w:tcPr>
            <w:tcW w:w="720" w:type="dxa"/>
            <w:shd w:val="clear" w:color="auto" w:fill="auto"/>
            <w:noWrap/>
            <w:vAlign w:val="center"/>
          </w:tcPr>
          <w:p w14:paraId="11F7A86C" w14:textId="78C4ADE6"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35</w:t>
            </w:r>
          </w:p>
        </w:tc>
        <w:tc>
          <w:tcPr>
            <w:tcW w:w="1350" w:type="dxa"/>
            <w:shd w:val="clear" w:color="auto" w:fill="auto"/>
            <w:noWrap/>
            <w:vAlign w:val="center"/>
            <w:hideMark/>
          </w:tcPr>
          <w:p w14:paraId="6504E11E" w14:textId="0C57DEB0"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Thanh Hóa</w:t>
            </w:r>
          </w:p>
        </w:tc>
        <w:tc>
          <w:tcPr>
            <w:tcW w:w="6480" w:type="dxa"/>
            <w:shd w:val="clear" w:color="auto" w:fill="auto"/>
            <w:vAlign w:val="center"/>
            <w:hideMark/>
          </w:tcPr>
          <w:p w14:paraId="073D2A59"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Để đảm bảo nguồn lực chi trả chế độ cho cán bộ, công chức, viên chức, người lao động nghỉ việc do sắp xếp bộ máy, đề nghị Bộ Tài chính quan tâm, xem xét sớm hỗ trợ kinh phí cho tỉnh Thanh Hóa để thực hiện chính sách theo Nghị định số 178/2024/NĐ-CP ngày 31/12/2024 của Chính phủ.</w:t>
            </w:r>
          </w:p>
        </w:tc>
        <w:tc>
          <w:tcPr>
            <w:tcW w:w="7560" w:type="dxa"/>
            <w:vAlign w:val="center"/>
          </w:tcPr>
          <w:p w14:paraId="689E57FF" w14:textId="76A988EE" w:rsidR="00F435AF"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AF1212">
              <w:rPr>
                <w:rFonts w:ascii="Times New Roman" w:eastAsia="Times New Roman" w:hAnsi="Times New Roman" w:cs="Times New Roman"/>
                <w:color w:val="000000"/>
                <w:kern w:val="0"/>
                <w:sz w:val="20"/>
                <w:szCs w:val="20"/>
                <w14:ligatures w14:val="none"/>
              </w:rPr>
              <w:t>Trên cơ sở đề nghị của UBND tỉnh Thanh Hóa, Bộ Tài chính đã tổng hợp, có Tờ trình số 334/TTr-BTC trình Chính phủ về hỗ trợ từ NSTW cho 08 địa phương để chi trả chế độ, chính sách theo quy định tại Nghị định số 178/2024/NĐ-CP và Nghị định số 67/2025/NĐ-CP; trong đó, đề xuất hỗ trợ tỉnh Thanh Hóa 764.399 triệu đồng. Căn cứ Nghị quyết số 202/NQ-CP ngày 30/6/2025 của Chính phủ thông qua đề xuất của Bộ Tài chính tại Tờ trình số 334/TTr-BTC, Bộ Tài chính đã có văn bản số 9802/BTC-NSNN ngày 02/7/2025 trình Thủ tướng Chính phủ về việc bổ sung có mục tiêu từ NSTW cho các địa phương. Vì vậy, sau khi Thủ tướng Chính phủ có quyết định, đề nghị Tỉnh thực hiện hỗ trợ kinh phí chi trả chế độ cho cán bộ, công chức, viên chức, người lao động theo đúng quy định.</w:t>
            </w:r>
          </w:p>
        </w:tc>
      </w:tr>
      <w:tr w:rsidR="00F435AF" w:rsidRPr="00636D4C" w14:paraId="144B5B0B" w14:textId="1DA2BBF6" w:rsidTr="00982689">
        <w:trPr>
          <w:trHeight w:val="840"/>
        </w:trPr>
        <w:tc>
          <w:tcPr>
            <w:tcW w:w="720" w:type="dxa"/>
            <w:shd w:val="clear" w:color="auto" w:fill="auto"/>
            <w:noWrap/>
            <w:vAlign w:val="center"/>
          </w:tcPr>
          <w:p w14:paraId="051B780E" w14:textId="2031347C"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36</w:t>
            </w:r>
          </w:p>
        </w:tc>
        <w:tc>
          <w:tcPr>
            <w:tcW w:w="1350" w:type="dxa"/>
            <w:shd w:val="clear" w:color="auto" w:fill="auto"/>
            <w:noWrap/>
            <w:vAlign w:val="center"/>
            <w:hideMark/>
          </w:tcPr>
          <w:p w14:paraId="09D9738D" w14:textId="09ACE05A"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Thanh Hóa</w:t>
            </w:r>
          </w:p>
        </w:tc>
        <w:tc>
          <w:tcPr>
            <w:tcW w:w="6480" w:type="dxa"/>
            <w:shd w:val="clear" w:color="auto" w:fill="auto"/>
            <w:vAlign w:val="center"/>
            <w:hideMark/>
          </w:tcPr>
          <w:p w14:paraId="7632A01E" w14:textId="20AAC783"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Đề nghị Bộ Tài chính xem xét báo cáo Chính phủ có phương án hỗ trợ các tỉnh chưa tự cân đối được thu, chi NSNN kinh phí tăng cường cơ sở vật chất cho các địa phương do</w:t>
            </w:r>
            <w:r>
              <w:rPr>
                <w:rFonts w:ascii="Times New Roman" w:eastAsia="Times New Roman" w:hAnsi="Times New Roman" w:cs="Times New Roman"/>
                <w:color w:val="000000"/>
                <w:kern w:val="0"/>
                <w:sz w:val="20"/>
                <w:szCs w:val="20"/>
                <w:lang w:val="vi-VN"/>
                <w14:ligatures w14:val="none"/>
              </w:rPr>
              <w:t xml:space="preserve"> </w:t>
            </w:r>
            <w:r w:rsidRPr="00DD7D32">
              <w:rPr>
                <w:rFonts w:ascii="Times New Roman" w:eastAsia="Times New Roman" w:hAnsi="Times New Roman" w:cs="Times New Roman"/>
                <w:color w:val="000000"/>
                <w:kern w:val="0"/>
                <w:sz w:val="20"/>
                <w:szCs w:val="20"/>
                <w14:ligatures w14:val="none"/>
              </w:rPr>
              <w:t>sắp xếp bộ máy để thực hiện xây dựng nhà ở công vụ, mua bổ sung xe ô tô và đầu tư cơ sở hạ tầng cho các xã mới.</w:t>
            </w:r>
          </w:p>
        </w:tc>
        <w:tc>
          <w:tcPr>
            <w:tcW w:w="7560" w:type="dxa"/>
            <w:vAlign w:val="center"/>
          </w:tcPr>
          <w:p w14:paraId="07119C8B" w14:textId="5393A3E8"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D0E38">
              <w:rPr>
                <w:rFonts w:ascii="Times New Roman" w:eastAsia="Times New Roman" w:hAnsi="Times New Roman" w:cs="Times New Roman"/>
                <w:color w:val="000000"/>
                <w:kern w:val="0"/>
                <w:sz w:val="20"/>
                <w:szCs w:val="20"/>
                <w:lang w:val="vi-VN"/>
                <w14:ligatures w14:val="none"/>
              </w:rPr>
              <w:t xml:space="preserve">Đề nghị địa phương căn cứ Công điện số 95/CĐ-TTg ngày 22/6/2025 của Thủ tướng Chính phủ về việc đảm bảo cơ sở, vật chất cho các cơ quan, tổ chức đơn vị của Nhà nước khi thực hiện sắp xếp, tinh gọn bộ máy, sắp xếp ĐVHC xây dựng mô hình CQĐP 02 cấp để triển khai thực hiện. Trường hợp khó khăn về nguồn kinh phí thì đề nghị các địa phương rà soát, báo cáo theo đúng chỉ đạo của Thủ tướng Chính phủ tại Công điện số 95/CĐ-TTg. Trước mắt, đề nghị Tỉnh sử dụng nguồn NSTW đã bổ sung (Quyết định số 1353/QĐ-TTg ngày 25/6/2025 của Thủ tướng Chính phủ về việc bổ sung có mục tiêu từ ngân sách trung ương </w:t>
            </w:r>
            <w:r w:rsidRPr="003D0E38">
              <w:rPr>
                <w:rFonts w:ascii="Times New Roman" w:eastAsia="Times New Roman" w:hAnsi="Times New Roman" w:cs="Times New Roman"/>
                <w:color w:val="000000"/>
                <w:kern w:val="0"/>
                <w:sz w:val="20"/>
                <w:szCs w:val="20"/>
                <w:lang w:val="vi-VN"/>
                <w14:ligatures w14:val="none"/>
              </w:rPr>
              <w:lastRenderedPageBreak/>
              <w:t>cho các địa phương để hỗ trợ kinh phí sắp xếp đơn vị hành chính cấp tỉnh, cấp xã), chủ động sử dụng nguồn NSĐP và các nguồn tài chính hợp pháp khác để thực hiện</w:t>
            </w:r>
            <w:r>
              <w:rPr>
                <w:rFonts w:ascii="Times New Roman" w:eastAsia="Times New Roman" w:hAnsi="Times New Roman" w:cs="Times New Roman"/>
                <w:color w:val="000000"/>
                <w:kern w:val="0"/>
                <w:sz w:val="20"/>
                <w:szCs w:val="20"/>
                <w:lang w:val="vi-VN"/>
                <w14:ligatures w14:val="none"/>
              </w:rPr>
              <w:t>.</w:t>
            </w:r>
          </w:p>
        </w:tc>
      </w:tr>
      <w:tr w:rsidR="00F435AF" w:rsidRPr="00CB19B3" w14:paraId="43A64D89" w14:textId="49AF419C" w:rsidTr="00982689">
        <w:trPr>
          <w:trHeight w:val="560"/>
        </w:trPr>
        <w:tc>
          <w:tcPr>
            <w:tcW w:w="720" w:type="dxa"/>
            <w:shd w:val="clear" w:color="auto" w:fill="auto"/>
            <w:noWrap/>
            <w:vAlign w:val="center"/>
          </w:tcPr>
          <w:p w14:paraId="29F079EF" w14:textId="026A28E1"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lastRenderedPageBreak/>
              <w:t>37</w:t>
            </w:r>
          </w:p>
        </w:tc>
        <w:tc>
          <w:tcPr>
            <w:tcW w:w="1350" w:type="dxa"/>
            <w:shd w:val="clear" w:color="auto" w:fill="auto"/>
            <w:noWrap/>
            <w:vAlign w:val="center"/>
            <w:hideMark/>
          </w:tcPr>
          <w:p w14:paraId="09827D80" w14:textId="4F4923DB"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Thanh Hóa</w:t>
            </w:r>
          </w:p>
        </w:tc>
        <w:tc>
          <w:tcPr>
            <w:tcW w:w="6480" w:type="dxa"/>
            <w:shd w:val="clear" w:color="auto" w:fill="auto"/>
            <w:vAlign w:val="center"/>
            <w:hideMark/>
          </w:tcPr>
          <w:p w14:paraId="6E154966" w14:textId="38F7C86A"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Đề nghị Chính phủ sớm ban hành Nghị định sửa đổi, bổ sung liên quan đến pháp luật quản lý, sử dụng tài sản công, làm cơ sở để phân cấp thẩm quyền thực hiện nhiệm vụ quản lý, sử dụng tài sản công cho cấp xã mới theo quy định.</w:t>
            </w:r>
          </w:p>
        </w:tc>
        <w:tc>
          <w:tcPr>
            <w:tcW w:w="7560" w:type="dxa"/>
            <w:vAlign w:val="center"/>
          </w:tcPr>
          <w:p w14:paraId="5E53608C" w14:textId="6321F161" w:rsidR="00F435AF" w:rsidRPr="00742CE7"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742CE7">
              <w:rPr>
                <w:rFonts w:ascii="Times New Roman" w:eastAsia="Times New Roman" w:hAnsi="Times New Roman" w:cs="Times New Roman"/>
                <w:color w:val="000000"/>
                <w:kern w:val="0"/>
                <w:sz w:val="20"/>
                <w:szCs w:val="20"/>
                <w14:ligatures w14:val="none"/>
              </w:rPr>
              <w:t>Bộ Tài chính đã trình Chính phủ trình Quốc hội ban hành Luật số 90/2025/QH15 ngày 25/6/2025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14:paraId="6374D197" w14:textId="23864CE4" w:rsidR="00F435AF" w:rsidRPr="004650E1"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14:ligatures w14:val="none"/>
              </w:rPr>
              <w:t>Bên</w:t>
            </w:r>
            <w:r>
              <w:rPr>
                <w:rFonts w:ascii="Times New Roman" w:eastAsia="Times New Roman" w:hAnsi="Times New Roman" w:cs="Times New Roman"/>
                <w:color w:val="000000"/>
                <w:kern w:val="0"/>
                <w:sz w:val="20"/>
                <w:szCs w:val="20"/>
                <w:lang w:val="vi-VN"/>
                <w14:ligatures w14:val="none"/>
              </w:rPr>
              <w:t xml:space="preserve"> cạnh đó, </w:t>
            </w:r>
            <w:r w:rsidRPr="00742CE7">
              <w:rPr>
                <w:rFonts w:ascii="Times New Roman" w:eastAsia="Times New Roman" w:hAnsi="Times New Roman" w:cs="Times New Roman"/>
                <w:color w:val="000000"/>
                <w:kern w:val="0"/>
                <w:sz w:val="20"/>
                <w:szCs w:val="20"/>
                <w14:ligatures w14:val="none"/>
              </w:rPr>
              <w:t>Bộ Tài chính đã trình cấp có thẩm quyền ban hành và ban hành theo thẩm quyền các văn bản quy phạm pháp luật liên quan đến quản lý, sử dụng tài sản công để các địa phương thuận lợi trong thực hiện các công việc liên quan sắp xếp, xử lý tài sản công khi thực hiện mô hình chính quyền địa phương 02 cấp; trong đó, đã phân định, phân cấp thẩm quyền quản lý, sử dụng tài sản công cho cấp xã.</w:t>
            </w:r>
          </w:p>
        </w:tc>
      </w:tr>
      <w:tr w:rsidR="00F435AF" w:rsidRPr="00636D4C" w14:paraId="1AEF8D83" w14:textId="1399787B" w:rsidTr="00982689">
        <w:trPr>
          <w:trHeight w:val="3189"/>
        </w:trPr>
        <w:tc>
          <w:tcPr>
            <w:tcW w:w="720" w:type="dxa"/>
            <w:shd w:val="clear" w:color="auto" w:fill="auto"/>
            <w:vAlign w:val="center"/>
          </w:tcPr>
          <w:p w14:paraId="5DF94E18" w14:textId="7AB58229"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38</w:t>
            </w:r>
          </w:p>
        </w:tc>
        <w:tc>
          <w:tcPr>
            <w:tcW w:w="1350" w:type="dxa"/>
            <w:shd w:val="clear" w:color="auto" w:fill="auto"/>
            <w:vAlign w:val="center"/>
            <w:hideMark/>
          </w:tcPr>
          <w:p w14:paraId="4035D9F1"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Nghệ An</w:t>
            </w:r>
          </w:p>
        </w:tc>
        <w:tc>
          <w:tcPr>
            <w:tcW w:w="6480" w:type="dxa"/>
            <w:shd w:val="clear" w:color="auto" w:fill="auto"/>
            <w:vAlign w:val="center"/>
            <w:hideMark/>
          </w:tcPr>
          <w:p w14:paraId="401E3701" w14:textId="77777777" w:rsidR="00F435AF"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 xml:space="preserve">1. Về nội dung giao chủ đầu tư mới cho các chương trình, nhiệm vụ, dự án đầu tư công do UBND xã trước sắp xếp làm chủ đầu tư: </w:t>
            </w:r>
          </w:p>
          <w:p w14:paraId="2103060A" w14:textId="0BBF2C96"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 xml:space="preserve">Tại khoản 4 Điều 1 Luật số 62/2020/QH14 sửa đổi, bổ sung một số điều của Luật Xây dựng sửa đổi quy định về bổ sung khoản 3 Điều 7 như sau: “Căn cứ điều kiện cụ thể của dự án sử dụng vốn đầu tư công, người quyết định đầu tư giao Ban quản lý dự án đầu tư xây dựng chuyên ngành hoặc Ban quản lý dự án đầu tư xây dựng khu vực làm chủ đầu tư. Trường hợp không có Ban quản lý dự án hoặc có Ban quản lý dự án nhưng không đủ điều kiện thực hiện thì người quyết định đầu tư giao cơ quan, tổ chức có kinh nghiệm, năng lực quản lý làm chủ đầu tư”. </w:t>
            </w:r>
          </w:p>
          <w:p w14:paraId="6CF6C99D" w14:textId="3B4D56AD"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Thực tiễn quá trình xác định chủ đầu tư trong thời gian qua, đối với những dự án sử dụng nguồn vốn ngân sách cấp xã (do xã quản lý) hoặc sử dụng ngân sách cấp huyện nhưng thực hiện trên địa bàn 1 xã và xã là đơn vị thụ hưởng thì UBND huyện/UBND xã vẫn quyết định giao UBND xã làm chủ đầu tư dự án. Vì vậy, đối với những dự án này, sau khi sắp xếp, tỉnh dự kiến vẫn giao cho UBND xã mới làm chủ đầu tư để phù hợp với cấp quản lý dự án và nguồn vốn sử dụng. Tuy nhiên, nếu tỉnh không thành lập Ban QLDA cấp xã mà chỉ tổ chức lại các Ban QLDA cấp huyện thành Ban QLDA khu vực trực thuộc UBND tỉnh thì việc giao UBND cấp xã làm chủ đầu tư các dự án có bảo đảm quy định tại khoản 4 Điều 1 Luật số 62/2020/QH14 nêu trên hay không?</w:t>
            </w:r>
          </w:p>
        </w:tc>
        <w:tc>
          <w:tcPr>
            <w:tcW w:w="7560" w:type="dxa"/>
            <w:vAlign w:val="center"/>
          </w:tcPr>
          <w:p w14:paraId="01AFCC5F" w14:textId="5CEF39CA"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0245A6">
              <w:rPr>
                <w:rFonts w:ascii="Times New Roman" w:eastAsia="Times New Roman" w:hAnsi="Times New Roman" w:cs="Times New Roman"/>
                <w:color w:val="000000"/>
                <w:kern w:val="0"/>
                <w:sz w:val="20"/>
                <w:szCs w:val="20"/>
                <w:lang w:val="vi-VN"/>
                <w14:ligatures w14:val="none"/>
              </w:rPr>
              <w:t>Nội dung kiến nghị của tỉnh Nghệ An liên quan đến quy định của pháp</w:t>
            </w:r>
            <w:r>
              <w:rPr>
                <w:rFonts w:ascii="Times New Roman" w:eastAsia="Times New Roman" w:hAnsi="Times New Roman" w:cs="Times New Roman"/>
                <w:color w:val="000000"/>
                <w:kern w:val="0"/>
                <w:sz w:val="20"/>
                <w:szCs w:val="20"/>
                <w:lang w:val="vi-VN"/>
                <w14:ligatures w14:val="none"/>
              </w:rPr>
              <w:t xml:space="preserve"> </w:t>
            </w:r>
            <w:r w:rsidRPr="000245A6">
              <w:rPr>
                <w:rFonts w:ascii="Times New Roman" w:eastAsia="Times New Roman" w:hAnsi="Times New Roman" w:cs="Times New Roman"/>
                <w:color w:val="000000"/>
                <w:kern w:val="0"/>
                <w:sz w:val="20"/>
                <w:szCs w:val="20"/>
                <w:lang w:val="vi-VN"/>
                <w14:ligatures w14:val="none"/>
              </w:rPr>
              <w:t>luật về xây dựng, thuộc chức năng, nhiệm vụ quản lý của Bộ Xây dựng. Do</w:t>
            </w:r>
            <w:r>
              <w:rPr>
                <w:rFonts w:ascii="Times New Roman" w:eastAsia="Times New Roman" w:hAnsi="Times New Roman" w:cs="Times New Roman"/>
                <w:color w:val="000000"/>
                <w:kern w:val="0"/>
                <w:sz w:val="20"/>
                <w:szCs w:val="20"/>
                <w:lang w:val="vi-VN"/>
                <w14:ligatures w14:val="none"/>
              </w:rPr>
              <w:t xml:space="preserve"> </w:t>
            </w:r>
            <w:r w:rsidRPr="000245A6">
              <w:rPr>
                <w:rFonts w:ascii="Times New Roman" w:eastAsia="Times New Roman" w:hAnsi="Times New Roman" w:cs="Times New Roman"/>
                <w:color w:val="000000"/>
                <w:kern w:val="0"/>
                <w:sz w:val="20"/>
                <w:szCs w:val="20"/>
                <w:lang w:val="vi-VN"/>
                <w14:ligatures w14:val="none"/>
              </w:rPr>
              <w:t>vậy, đề nghị Tỉnh Nghệ An chủ động phối hợp với Bộ Xây dựng để được trả</w:t>
            </w:r>
            <w:r>
              <w:rPr>
                <w:rFonts w:ascii="Times New Roman" w:eastAsia="Times New Roman" w:hAnsi="Times New Roman" w:cs="Times New Roman"/>
                <w:color w:val="000000"/>
                <w:kern w:val="0"/>
                <w:sz w:val="20"/>
                <w:szCs w:val="20"/>
                <w:lang w:val="vi-VN"/>
                <w14:ligatures w14:val="none"/>
              </w:rPr>
              <w:t xml:space="preserve"> </w:t>
            </w:r>
            <w:r w:rsidRPr="000245A6">
              <w:rPr>
                <w:rFonts w:ascii="Times New Roman" w:eastAsia="Times New Roman" w:hAnsi="Times New Roman" w:cs="Times New Roman"/>
                <w:color w:val="000000"/>
                <w:kern w:val="0"/>
                <w:sz w:val="20"/>
                <w:szCs w:val="20"/>
                <w:lang w:val="vi-VN"/>
                <w14:ligatures w14:val="none"/>
              </w:rPr>
              <w:t>lời, giải đáp.</w:t>
            </w:r>
          </w:p>
        </w:tc>
      </w:tr>
      <w:tr w:rsidR="00F435AF" w:rsidRPr="00CB19B3" w14:paraId="06AD5C20" w14:textId="50400924" w:rsidTr="00982689">
        <w:trPr>
          <w:trHeight w:val="1680"/>
        </w:trPr>
        <w:tc>
          <w:tcPr>
            <w:tcW w:w="720" w:type="dxa"/>
            <w:shd w:val="clear" w:color="auto" w:fill="auto"/>
            <w:noWrap/>
            <w:vAlign w:val="center"/>
          </w:tcPr>
          <w:p w14:paraId="7314A1EB" w14:textId="20DA8A01"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lastRenderedPageBreak/>
              <w:t>39</w:t>
            </w:r>
          </w:p>
        </w:tc>
        <w:tc>
          <w:tcPr>
            <w:tcW w:w="1350" w:type="dxa"/>
            <w:shd w:val="clear" w:color="auto" w:fill="auto"/>
            <w:noWrap/>
            <w:vAlign w:val="center"/>
            <w:hideMark/>
          </w:tcPr>
          <w:p w14:paraId="7994B193" w14:textId="15B9BEEF"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Nghệ An</w:t>
            </w:r>
          </w:p>
        </w:tc>
        <w:tc>
          <w:tcPr>
            <w:tcW w:w="6480" w:type="dxa"/>
            <w:shd w:val="clear" w:color="auto" w:fill="auto"/>
            <w:vAlign w:val="center"/>
            <w:hideMark/>
          </w:tcPr>
          <w:p w14:paraId="78A1BAED"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 xml:space="preserve">2. Về nội dung bàn giao hồ sơ, tài liệu: </w:t>
            </w:r>
          </w:p>
          <w:p w14:paraId="586D4252" w14:textId="46850871"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Việc bàn giao hồ sơ, tài liệu, tài chính, ngân sách trụ sở, tài sản, cơ sở vật chất khác có liên quan từ UBND cấp huyện cho các cơ quan, tổ chức, đơn vị có thẩm quyền cần có thời gian để thực hiện, rất khó khăn trong việc thực hiện hoàn thành việc bàn giao chậm nhất trong ngày 30/6/2025. Trong khi đó, thời gian còn lại để thực hiện quy trình bàn giao không nhiều, kính đề nghị Trung ương nghiên cứu hướng dẫn cụ thể hoặc có quy định kéo dài thời gian giữ lại con dấu của cấp huyện để bảo đảm điều kiện thực hiện công tác bàn giao hồ sơ, tài liệu sau ngày kết thúc hoạt động.</w:t>
            </w:r>
          </w:p>
        </w:tc>
        <w:tc>
          <w:tcPr>
            <w:tcW w:w="7560" w:type="dxa"/>
            <w:vAlign w:val="center"/>
          </w:tcPr>
          <w:p w14:paraId="49921B7E" w14:textId="75AD4D61" w:rsidR="00F435AF" w:rsidRPr="004E79E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 xml:space="preserve">- Về hướng dẫn bàn giao hồ sơ, tài liệu, tài chính, ngân sách, trụ sở, tài sản, cơ sở vật chất khác: </w:t>
            </w:r>
            <w:r w:rsidRPr="0029173C">
              <w:rPr>
                <w:rFonts w:ascii="Times New Roman" w:eastAsia="Times New Roman" w:hAnsi="Times New Roman" w:cs="Times New Roman"/>
                <w:color w:val="000000"/>
                <w:kern w:val="0"/>
                <w:sz w:val="20"/>
                <w:szCs w:val="20"/>
                <w14:ligatures w14:val="none"/>
              </w:rPr>
              <w:t xml:space="preserve">Bộ Nội vụ đã có văn bản số 414/BNV-VTLTNN ngày 19/3/2025 gửi UBND các địa phương hướng dẫn tăng cường công tác lưu trữ trong quá trình sắp xếp bộ máy theo Kết luận số 127-KL/TW. Bộ Tài chính đã có văn bản số 4205/BTC-NSNN ngày 02/4/2025 và số 8911/BTC-NSNN ngày 20/6/2025 hướng dẫn nguyên tắc xử lý tài chính, NSNN khi tổ chức lại ĐVHC các cấp và xây dựng mô hình tổ chức CQĐP 02 cấp. Đề nghị </w:t>
            </w:r>
            <w:r>
              <w:rPr>
                <w:rFonts w:ascii="Times New Roman" w:eastAsia="Times New Roman" w:hAnsi="Times New Roman" w:cs="Times New Roman"/>
                <w:color w:val="000000"/>
                <w:kern w:val="0"/>
                <w:sz w:val="20"/>
                <w:szCs w:val="20"/>
                <w:lang w:val="vi-VN"/>
                <w14:ligatures w14:val="none"/>
              </w:rPr>
              <w:t>t</w:t>
            </w:r>
            <w:r w:rsidRPr="0029173C">
              <w:rPr>
                <w:rFonts w:ascii="Times New Roman" w:eastAsia="Times New Roman" w:hAnsi="Times New Roman" w:cs="Times New Roman"/>
                <w:color w:val="000000"/>
                <w:kern w:val="0"/>
                <w:sz w:val="20"/>
                <w:szCs w:val="20"/>
                <w14:ligatures w14:val="none"/>
              </w:rPr>
              <w:t>ỉnh nghiên cứu thực hiện.</w:t>
            </w:r>
          </w:p>
          <w:p w14:paraId="43AB7F80" w14:textId="0CC3CEEC" w:rsidR="00F435AF" w:rsidRPr="00E84B62"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29173C">
              <w:rPr>
                <w:rFonts w:ascii="Times New Roman" w:eastAsia="Times New Roman" w:hAnsi="Times New Roman" w:cs="Times New Roman"/>
                <w:color w:val="000000"/>
                <w:kern w:val="0"/>
                <w:sz w:val="20"/>
                <w:szCs w:val="20"/>
                <w14:ligatures w14:val="none"/>
              </w:rPr>
              <w:t>- Về thời hạn bàn giao ngày 30/6/2025: Theo quy định tại khoản 7 Điều 54 Luật Tổ chức chính quyền địa phương số 72/2025/QH15 ngày 16/6/2025, chậm nhất là ngày 30/6/2025, Thường trực Hội đồng nhân dân, các cơ quan thuộc Hội đồng nhân dân, UBND, Chủ tịch UBND, các cơ quan chuyên môn thuộc UBND cấp huyện phải hoàn thành việc bàn giao công việc, hồ sơ, tài liệu, tài chính, ngân sách, trụ sở, tài sản, cơ sở vật chất khác có liên quan cho các cơ quan, tổ chức, đơn vị có thẩm quyền bảo đảm hoạt động bình thường, liên tục, thông suốt của các cơ quan, không để gián đoạn công việc, không để chồng chéo, trùng lặp hoặc bỏ sót nhiệm vụ, lĩnh vực, địa bàn, không làm ảnh hưởng đến nhiệm vụ phát triển kinh tế - xã hội, hoạt động bình thường của xã hội, người dân, doanh nghiệp, bảo đảm quốc phòng, an ninh, trật tự, an toàn xã hội trên địa bàn.</w:t>
            </w:r>
          </w:p>
        </w:tc>
      </w:tr>
      <w:tr w:rsidR="00F435AF" w:rsidRPr="00636D4C" w14:paraId="68A7E209" w14:textId="25471EAE" w:rsidTr="00982689">
        <w:trPr>
          <w:trHeight w:val="2520"/>
        </w:trPr>
        <w:tc>
          <w:tcPr>
            <w:tcW w:w="720" w:type="dxa"/>
            <w:shd w:val="clear" w:color="auto" w:fill="auto"/>
            <w:noWrap/>
            <w:vAlign w:val="center"/>
          </w:tcPr>
          <w:p w14:paraId="43B3F30B" w14:textId="708ED863"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40</w:t>
            </w:r>
          </w:p>
        </w:tc>
        <w:tc>
          <w:tcPr>
            <w:tcW w:w="1350" w:type="dxa"/>
            <w:shd w:val="clear" w:color="auto" w:fill="auto"/>
            <w:noWrap/>
            <w:vAlign w:val="center"/>
            <w:hideMark/>
          </w:tcPr>
          <w:p w14:paraId="697FC868" w14:textId="41F20C6C"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Nghệ An</w:t>
            </w:r>
          </w:p>
        </w:tc>
        <w:tc>
          <w:tcPr>
            <w:tcW w:w="6480" w:type="dxa"/>
            <w:shd w:val="clear" w:color="auto" w:fill="auto"/>
            <w:vAlign w:val="center"/>
            <w:hideMark/>
          </w:tcPr>
          <w:p w14:paraId="3965CB4D" w14:textId="3BF481FD"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 xml:space="preserve">Thiếu số lượng xe ô tô phục vụ cho cấp xã: </w:t>
            </w:r>
          </w:p>
          <w:p w14:paraId="45E0089A" w14:textId="77777777" w:rsidR="00F435AF"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xml:space="preserve">Qua rà soát, tổng số xe ô tô hiện có của tỉnh thuộc đối tượng sắp xếp là 137 xe (gồm: xe phục vụ công tác chung là 98 xe; xe chuyên dùng là 39 xe), trong đó có 11 xe phục vụ chung và 06 xe chuyên dùng đã hư hỏng không sử dụng được; </w:t>
            </w:r>
          </w:p>
          <w:p w14:paraId="66382EB2" w14:textId="2A562541"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Phương án sắp xếp là trước mắt phân bổ số xe ô tô phục vụ chung hiện có trên địa bàn từng huyện để bố trí cho mỗi xã mới từ 01 đến 02 xe phục vụ công tác chung. Tuy nhiên, theo quy định về tiêu chuẩn, định mức sử dụng xe ô tô tại Nghị định số 153/2025/NĐ-CP ngày 15 tháng 6 năm 2025 của Chính phủ quy định sửa đổi, bổ sung một số điều của Nghị định số 72/2023/NĐ-CP ngày 26/9/2023 của Chính phủ quy định về tiêu chuẩn, định mức sử dụng xe ô tô thì mỗi xã tối đa được sử dụng 02 xe ô tô phục vụ công tác chung, theo đó số xe phục vụ công tác chung cho các xã là 260 xe (130 xã * 2 xe), như vậy số xe ô tô phục vụ chung của cấp xã toàn tỉnh Nghệ An còn thiếu 151 xe (260 xe - 98 xe - 11 xe hư hỏng) và tỉnh chưa cân đối được kinh phí để mua sắm (khoảng 211 tỷ đồng).</w:t>
            </w:r>
          </w:p>
        </w:tc>
        <w:tc>
          <w:tcPr>
            <w:tcW w:w="7560" w:type="dxa"/>
            <w:vAlign w:val="center"/>
          </w:tcPr>
          <w:p w14:paraId="3470B022" w14:textId="2858C9C4"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A01921">
              <w:rPr>
                <w:rFonts w:ascii="Times New Roman" w:eastAsia="Times New Roman" w:hAnsi="Times New Roman" w:cs="Times New Roman"/>
                <w:color w:val="000000"/>
                <w:kern w:val="0"/>
                <w:sz w:val="20"/>
                <w:szCs w:val="20"/>
                <w:lang w:val="vi-VN"/>
                <w14:ligatures w14:val="none"/>
              </w:rPr>
              <w:t xml:space="preserve">- Về tiêu chuẩn, định mức sử dụng xe ô tô, bố trí sắp xếp cơ sở vật chất cho các cơ quan, đơn vị khi sắp xếp tổ chức bộ máy: Ngày 15/6/2025, Chính phủ ban hành Nghị định 153/2025/NĐ-CP sửa đổi, bổ sung một số điều của Nghị định số 72/2023/NĐ-CP; đồng thời để hướng dẫn triển khai Nghị định số 153/2025/NĐ-CP, Bộ Tài chính đã có Công văn số 8516/BTC-QLCS ngày 17/6/2025 gửi các Bộ, ngành, địa phương triển khai, thực hiện. Đồng thời, để bảo đảm điều kiện làm việc cho cán bộ, công chức, viên chức, người lao động khi sắp xếp đơn vị hành chính, Thủ tướng Chính phủ đã có Công điện số 95/CĐ-TTg ngày 22/6/2025 về việc đảm bảo cơ sở, vật chất cho các cơ quan, tổ chức đơn vị của Nhà nước khi thực hiện sắp xếp, tinh gọn bộ máy, sắp xếp đơn vị hành chính xây dựng mô hình chính quyền địa phương 02 cấp; trong đó Thủ tướng Chính phủ đã chỉ đạo Chủ tịch Ủy ban nhân dân các tỉnh, thành phố trực thuộc trung ương: (i) Sắp xếp, bố trí đối với trụ sở tài sản công thuộc phạm vi quản lý, bảo đảm cơ sở vật chất (trụ sở, ô tô, máy móc, thiết bị, hạ tầng dữ liệu công nghệ thông tin, chuyển đổi số,...) cho bộ máy theo mô hình mới và hoạt động của cán bộ, công chức, viên chức, người lao động được tiến hành bình thường, không gián đoạn, không làm ảnh hưởng tới cung cấp dịch vụ công, giải quyết thủ tục hành chính cho người dân, doanh nghiệp khi đi vào hoạt động chính thức. Xây dựng kế hoạch và tổ chức thực hiện xử lý đối với trụ sở, tài sản công dôi dư theo đúng quy định của pháp luật, chỉ đạo của Thủ tướng Chính phủ, hướng dẫn của Bộ Tài chính và các Bộ, cơ quan có liên quan; (ii) Chỉ đạo </w:t>
            </w:r>
            <w:r w:rsidRPr="00A01921">
              <w:rPr>
                <w:rFonts w:ascii="Times New Roman" w:eastAsia="Times New Roman" w:hAnsi="Times New Roman" w:cs="Times New Roman"/>
                <w:color w:val="000000"/>
                <w:kern w:val="0"/>
                <w:sz w:val="20"/>
                <w:szCs w:val="20"/>
                <w:lang w:val="vi-VN"/>
                <w14:ligatures w14:val="none"/>
              </w:rPr>
              <w:lastRenderedPageBreak/>
              <w:t>việc mua sắm bổ sung theo tiêu chuẩn, định mức quy định trong trường hợp ô tô, máy móc, thiết bị và các tài sản khác hiện có sau khi bố trí, sắp xếp, điều hòa nhưng không đáp ứng được yêu cầu thực hiện nhiệm vụ; trường hợp thuộc danh mục mua sắm tập trung thì căn cứ quy định tại Khoản 4 Điều 74 Nghị định số 151/2017/NĐ-CP để thực hiện, bảo đảm tiết kiệm, hiệu quả, phù hợp với nhu cầu sử dụng thực tế và tuân thủ đúng trình tự, thủ tục, quy định pháp luật (trong trường hợp đặc biệt, đã có Nghị quyết, văn bản quy định của Chính phủ, quy định thẩm quyền của Bộ trưởng và Chủ tịch Ủy ban nhân dân cấp tỉnh xem xét, quyết định kịp thời); dứt khoát không để xảy ra tình trạng thiếu cơ sở vật chất phục vụ hoạt động, ảnh hưởng đến việc thực hiện mô hình chính quyền địa phương 02 cấp; (iii) Chủ động bố trí nguồn ngân sách địa phương và các nguồn tài chính hợp pháp khác để bố trí triển khai thực hiện sắp xếp bộ máy cấp xã; đối với việc sắp xếp các cơ quan cấp tỉnh, tỉnh được quyết định đặt trung tâm hành chính mới sau sắp xếp có trách nhiệm bố trí kinh phí để thực hiện. Trường hợp khó khăn về nguồn kinh phí, Ủy ban nhân dân cấp tỉnh kịp thời có báo cáo gửi Bộ Tài chính để tổng hợp, trình cấp có thẩm quyền xem xét, xử lý.</w:t>
            </w:r>
          </w:p>
        </w:tc>
      </w:tr>
      <w:tr w:rsidR="00F435AF" w:rsidRPr="00636D4C" w14:paraId="21303AC4" w14:textId="6221E7A9" w:rsidTr="00982689">
        <w:trPr>
          <w:trHeight w:val="1400"/>
        </w:trPr>
        <w:tc>
          <w:tcPr>
            <w:tcW w:w="720" w:type="dxa"/>
            <w:shd w:val="clear" w:color="auto" w:fill="auto"/>
            <w:noWrap/>
            <w:vAlign w:val="center"/>
          </w:tcPr>
          <w:p w14:paraId="0B976829" w14:textId="11AAEF5B"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lastRenderedPageBreak/>
              <w:t>41</w:t>
            </w:r>
          </w:p>
        </w:tc>
        <w:tc>
          <w:tcPr>
            <w:tcW w:w="1350" w:type="dxa"/>
            <w:shd w:val="clear" w:color="auto" w:fill="auto"/>
            <w:noWrap/>
            <w:vAlign w:val="center"/>
            <w:hideMark/>
          </w:tcPr>
          <w:p w14:paraId="4A83AE28" w14:textId="06851D94"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Nghệ An</w:t>
            </w:r>
          </w:p>
        </w:tc>
        <w:tc>
          <w:tcPr>
            <w:tcW w:w="6480" w:type="dxa"/>
            <w:shd w:val="clear" w:color="auto" w:fill="auto"/>
            <w:vAlign w:val="center"/>
            <w:hideMark/>
          </w:tcPr>
          <w:p w14:paraId="38BD1663" w14:textId="14D062A0"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 xml:space="preserve">4. Về việc điều chỉnh quy hoạch sử dụng đất, quy hoạch xây dựng sau khi chính quyền địa phương 02 cấp đi vào hoạt động: </w:t>
            </w:r>
            <w:r w:rsidRPr="00DD7D32">
              <w:rPr>
                <w:rFonts w:ascii="Times New Roman" w:eastAsia="Times New Roman" w:hAnsi="Times New Roman" w:cs="Times New Roman"/>
                <w:color w:val="000000"/>
                <w:kern w:val="0"/>
                <w:sz w:val="20"/>
                <w:szCs w:val="20"/>
                <w14:ligatures w14:val="none"/>
              </w:rPr>
              <w:br/>
              <w:t>Việc thực hiện hoán đổi (điều chuyển) trụ sở, cơ sở hoạt động sự nghiệp giữa các đơn vị còn vướng mắc về quy hoạch sử dụng đất, quy hoạch xây dựng. Đến nay, Bộ Nông nghiệp và Môi trường đã có Công văn số 3099/BNNMT-QLĐĐ ngày 13/6/2025 hướng dẫn; tuy nhiên tại công văn trên chỉ mới trích dẫn quy định tại điểm h khoản 3 Điều 3 Nghị định số 03/2025/NĐ-CP của Chính phủ nhưng chưa có hướng dẫn cụ thể để các đơn vị quản lý tài sản căn cứ triển khai thực hiện sau khi chính quyền địa phương 02 cấp đi vào hoạt động.</w:t>
            </w:r>
          </w:p>
        </w:tc>
        <w:tc>
          <w:tcPr>
            <w:tcW w:w="7560" w:type="dxa"/>
            <w:vAlign w:val="center"/>
          </w:tcPr>
          <w:p w14:paraId="309B39DD" w14:textId="28DE0639"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C63BB9">
              <w:rPr>
                <w:rFonts w:ascii="Times New Roman" w:eastAsia="Times New Roman" w:hAnsi="Times New Roman" w:cs="Times New Roman"/>
                <w:color w:val="000000"/>
                <w:kern w:val="0"/>
                <w:sz w:val="20"/>
                <w:szCs w:val="20"/>
                <w14:ligatures w14:val="none"/>
              </w:rPr>
              <w:t>Đối với lĩnh vực quy hoạch: Việc điều chỉnh quy hoạch sử dụng đất, quy hoạch xây dựng sau khi chính quyền địa phương 02 cấp đi vào hoạt động được thực hiện theo quy định của pháp luật về đất đai và pháp luật về quy hoạch đô thị và nông thôn. Hiện nay, Chính phủ đã ban hành Nghị định số 151/2025/NĐ-CP ngày 12/6/2025 quy định về phân định thẩm quyền của chính quyền địa phương 02 cấp trong lĩnh vực đất đai và Nghị định số 145/2025/NĐ-CP ngày 12/6/2025 quy định về phân định thẩm quyền của chính quyền địa phương 02 cấp, phân quyền, phân cấp trong lĩnh vực quy hoạch đô thị và nông thôn</w:t>
            </w:r>
            <w:r>
              <w:rPr>
                <w:rFonts w:ascii="Times New Roman" w:eastAsia="Times New Roman" w:hAnsi="Times New Roman" w:cs="Times New Roman"/>
                <w:color w:val="000000"/>
                <w:kern w:val="0"/>
                <w:sz w:val="20"/>
                <w:szCs w:val="20"/>
                <w:lang w:val="vi-VN"/>
                <w14:ligatures w14:val="none"/>
              </w:rPr>
              <w:t>.</w:t>
            </w:r>
          </w:p>
          <w:p w14:paraId="76A7E245" w14:textId="064F707E"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Tại mục 2 Công điện số 80/CĐ-TTg ngày 01/6/2025, Thủ tướng Chính phủ đã chỉ đạo: “2. Các Bộ: Tài chính, Nông nghiệp và Môi trường, Xây dựng và các bộ quản lý chuyên ngành thường xuyên nắm bắt các vướng mắc phát sinh trong quá trình triển khai thực hiện để kịp thời hướng dẫn các Bộ, ngành, địa phương theo chức năng, nhiệm vụ được giao, đặc biệt việc điều chỉnh quy hoạch sử dụng đất, quy hoạch xây dựng để thực hiện chuyển đổi công năng đối với nhà, đất dôi dư”.</w:t>
            </w:r>
          </w:p>
          <w:p w14:paraId="21A05553" w14:textId="77777777"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Ngày 26/5/2025, Bộ Tài chính đã có Công văn số 7183/BTC-QLCS gửi Bộ Nông nghiệp và Môi trường, Bộ Xây dựng có văn bản hướng dẫn các Bộ, ngành, địa phương về việc điều chỉnh quy hoạch, kế hoạch sử dụng đất, quy hoạch xây dựng trong quá trình sắp xếp, xử lý nhà, đất khi sắp xếp bộ máy tổ chức, sắp xếp đơn vị hành chính.</w:t>
            </w:r>
          </w:p>
          <w:p w14:paraId="49C11A08" w14:textId="1A84B261" w:rsidR="00F435AF" w:rsidRPr="008A4DAD"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 xml:space="preserve">Như vậy, việc điều chỉnh quy hoạch sử dụng đất, quy hoạch xây dựng và các quy hoạch, kế hoạch khác khi thực hiện chuyển đổi công năng sử dụng tài sản công (nếu có) được thực hiện theo quy định của pháp luật có liên quan và hướng dẫn của Bộ Nông nghiệp và Môi trường, Bộ Xây dựng và Bộ quản lý chuyên ngành có liên quan. Việc điều chỉnh quy hoạch cụ thể </w:t>
            </w:r>
            <w:r w:rsidRPr="00636D4C">
              <w:rPr>
                <w:rFonts w:ascii="Times New Roman" w:eastAsia="Times New Roman" w:hAnsi="Times New Roman" w:cs="Times New Roman"/>
                <w:color w:val="000000"/>
                <w:kern w:val="0"/>
                <w:sz w:val="20"/>
                <w:szCs w:val="20"/>
                <w:lang w:val="vi-VN"/>
                <w14:ligatures w14:val="none"/>
              </w:rPr>
              <w:lastRenderedPageBreak/>
              <w:t>thuộc trách nhiệm của địa phương, do đó, UBND cấp tỉnh chỉ đạo cơ quan nông nghiệp và môi trường, xây dựng và các cơ quan chuyên môn khác thuộc phạm vi quản lý chủ động thực hiện các thủ tục, nhiệm vụ liên quan đến đất đai, quy hoạch khi sắp xếp, bố trí, chuyển đổi công năng sử dụng, xử lý nhà, đất theo nhiệm vụ, quyền hạn được giao, bảo đảm không ách tắc trong quá trình thực hiện.</w:t>
            </w:r>
          </w:p>
        </w:tc>
      </w:tr>
      <w:tr w:rsidR="00F435AF" w:rsidRPr="00636D4C" w14:paraId="1EEEF2F9" w14:textId="1010845E" w:rsidTr="00982689">
        <w:trPr>
          <w:trHeight w:val="2800"/>
        </w:trPr>
        <w:tc>
          <w:tcPr>
            <w:tcW w:w="720" w:type="dxa"/>
            <w:shd w:val="clear" w:color="auto" w:fill="auto"/>
            <w:noWrap/>
            <w:vAlign w:val="center"/>
          </w:tcPr>
          <w:p w14:paraId="524B4127" w14:textId="419A81DC"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lastRenderedPageBreak/>
              <w:t>42</w:t>
            </w:r>
          </w:p>
        </w:tc>
        <w:tc>
          <w:tcPr>
            <w:tcW w:w="1350" w:type="dxa"/>
            <w:shd w:val="clear" w:color="auto" w:fill="auto"/>
            <w:noWrap/>
            <w:vAlign w:val="center"/>
            <w:hideMark/>
          </w:tcPr>
          <w:p w14:paraId="2C0F47BE" w14:textId="4B54E2B9"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Nghệ An</w:t>
            </w:r>
          </w:p>
        </w:tc>
        <w:tc>
          <w:tcPr>
            <w:tcW w:w="6480" w:type="dxa"/>
            <w:shd w:val="clear" w:color="auto" w:fill="auto"/>
            <w:vAlign w:val="center"/>
            <w:hideMark/>
          </w:tcPr>
          <w:p w14:paraId="59F37369"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 xml:space="preserve">5. Về việc điều chỉnh kế hoạch đầu tư công trung hạn vốn ngân sách trung ương giai đoạn 2021-2025 thực hiện Chương trình mục tiêu quốc gia xây dựng nông thôn mới: </w:t>
            </w:r>
          </w:p>
          <w:p w14:paraId="5F06DBDD"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xml:space="preserve">Ngày 05/5/2025, Thủ tướng Chính phủ ban hành Quyết định số 864/QĐ-TTg, trong đó tỉnh Nghệ An được giao bổ sung kế hoạch vốn ngân sách trung ương giai đoạn 2021-2025 thực hiện Chương trình mục tiêu quốc gia xây dựng nông thôn mới với số tiền 810 triệu đồng. </w:t>
            </w:r>
          </w:p>
          <w:p w14:paraId="613FFDF1" w14:textId="5D45EFA1"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Với số vốn được giao nêu trên, căn cứ theo tiêu chí, định mức thì mỗi đơn vị cấp huyện, xã dự kiến được phân bổ với số tiền rất thấp (dưới 10 triệu đồng 1 đơn vị cấp huyện/cấp xã, cụ thể: xã đạt dưới 15 tiêu chí được 8,7 triệu đồng; xã đạt 15-18 tiêu chí là 5,2 triệu đồng; xã đạt chuẩn nông thôn mới là 1,7 triệu đồng, huyện phẩn đấu đạt chuẩn nông thôn mới là 8,7 triệu đồng). Số vốn trên được phân bổ nhỏ lẻ không thể cân đối để bố trí thực hiện dự án khởi công mới, trong khi các dự án hoàn thành, chuyển tiếp đã được bố trí đủ nhu cầu vốn để triển khai thực hiện. Ngoài ra từ thời điểm 01/7/2025 không còn chính quyền cấp huyện, nên không thể phân bổ theo tiêu chí huyện đạt chuẩn nông thôn mới.</w:t>
            </w:r>
          </w:p>
        </w:tc>
        <w:tc>
          <w:tcPr>
            <w:tcW w:w="7560" w:type="dxa"/>
            <w:vAlign w:val="center"/>
          </w:tcPr>
          <w:p w14:paraId="64B2CD5B" w14:textId="4A842C11" w:rsidR="00F435AF" w:rsidRPr="00EF276A"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B6BA3">
              <w:rPr>
                <w:rFonts w:ascii="Times New Roman" w:eastAsia="Times New Roman" w:hAnsi="Times New Roman" w:cs="Times New Roman"/>
                <w:color w:val="000000"/>
                <w:kern w:val="0"/>
                <w:sz w:val="20"/>
                <w:szCs w:val="20"/>
                <w:lang w:val="vi-VN"/>
                <w14:ligatures w14:val="none"/>
              </w:rPr>
              <w:t>Nội dung kiến nghị của tỉnh Nghệ An liên quan đến áp dụng quy định về nguyên tắc, tiêu chí, định mức phân bổ vốn Chương trình mục tiêu quốc gia xây dựng nông thôn mới giai đoạn 2021-2025 trong phân bổ vốn trung hạn, hằng năm của Chương trình, thuộc trách nhiệm hướng dẫn của Bộ Nông nghiệp và Môi trường theo quy định tại khoản 1 Điều 9 Quyết định số 07/2022/QĐ-TTg ngày 26/3/2022 của Thủ tướng Chính phủ. Bên cạnh đó, Bộ Nông nghiệp và Môi trường đã có văn bản số 3905/BNNMT-VPĐP ngày 01/7/2025 trả lời, hướng dẫn các địa phương về điều chỉnh kế hoạch đầu tư công trung hạn vốn ngân sách trung ương giai đoạn 2021-2025, phân bổ kế hoạch đầu tư công vốn ngân sách trung ương năm 2025 bổ sung thực hiện Chương trình mục tiêu quốc gia xây dựng nông thôn mới. Do vậy, đề nghị tỉnh Nghệ An chủ động phối hợp với Bộ Nông nghiệp và Môi trường để được giải đáp.</w:t>
            </w:r>
          </w:p>
        </w:tc>
      </w:tr>
      <w:tr w:rsidR="00F435AF" w:rsidRPr="00CB19B3" w14:paraId="0F74E9AA" w14:textId="3A7D19A4" w:rsidTr="00982689">
        <w:trPr>
          <w:trHeight w:val="1960"/>
        </w:trPr>
        <w:tc>
          <w:tcPr>
            <w:tcW w:w="720" w:type="dxa"/>
            <w:shd w:val="clear" w:color="auto" w:fill="auto"/>
            <w:noWrap/>
            <w:vAlign w:val="center"/>
          </w:tcPr>
          <w:p w14:paraId="4FEC029D" w14:textId="1BCE5017"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43</w:t>
            </w:r>
          </w:p>
        </w:tc>
        <w:tc>
          <w:tcPr>
            <w:tcW w:w="1350" w:type="dxa"/>
            <w:shd w:val="clear" w:color="auto" w:fill="auto"/>
            <w:noWrap/>
            <w:vAlign w:val="center"/>
            <w:hideMark/>
          </w:tcPr>
          <w:p w14:paraId="2C2D17CE" w14:textId="34CFBBFD"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Nghệ An</w:t>
            </w:r>
          </w:p>
        </w:tc>
        <w:tc>
          <w:tcPr>
            <w:tcW w:w="6480" w:type="dxa"/>
            <w:shd w:val="clear" w:color="auto" w:fill="auto"/>
            <w:vAlign w:val="center"/>
            <w:hideMark/>
          </w:tcPr>
          <w:p w14:paraId="2DC9A594"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 xml:space="preserve">6. Về phân cấp tài chính cho cấp xã: </w:t>
            </w:r>
          </w:p>
          <w:p w14:paraId="5CAEF369"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xml:space="preserve">- Theo quy định thực hiện chính quyền địa phương 02 cấp, cấp xã được giao thêm nhiều nhiệm vụ và quyền hạn, tuy nhiên cơ chế phân bổ nguồn lực và kiểm soát còn phân tán; việc phân định thẩm quyền giữa cấp tỉnh và cấp xã chưa được quy định rõ ràng nên còn khó khăn cho địa phương trong tổ chức thực hiện. </w:t>
            </w:r>
          </w:p>
          <w:p w14:paraId="58F6FA59" w14:textId="16086F9F"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Việc sắp xếp lại tổ chức bộ máy, tinh giản biên chế và chuyển đổi chức năng nhiệm vụ sẽ phát sinh nhiều khoản chi: hỗ trợ cán bộ dôi dư, chi phí sửa chữa trụ sở, trang thiết bị phục vụ bộ máy mới... Tuy nhiên, đến nay chưa có hướng dẫn và bố trí cụ thể về nguồn kinh phí phục vụ công tác này.</w:t>
            </w:r>
          </w:p>
        </w:tc>
        <w:tc>
          <w:tcPr>
            <w:tcW w:w="7560" w:type="dxa"/>
            <w:vAlign w:val="center"/>
          </w:tcPr>
          <w:p w14:paraId="6D141BC5" w14:textId="6B88B5EF" w:rsidR="00F435AF" w:rsidRPr="00926FD1"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926FD1">
              <w:rPr>
                <w:rFonts w:ascii="Times New Roman" w:eastAsia="Times New Roman" w:hAnsi="Times New Roman" w:cs="Times New Roman"/>
                <w:color w:val="000000"/>
                <w:kern w:val="0"/>
                <w:sz w:val="20"/>
                <w:szCs w:val="20"/>
                <w14:ligatures w14:val="none"/>
              </w:rPr>
              <w:t xml:space="preserve">- Sở Tài chính tham mưu trình Ủy ban nhân dân cấp tỉnh trình Hội đồng nhân dân cùng cấp quyết định dự toán thu ngân sách nhà nước trên địa bàn, chi ngân sách địa phương năm 2025, bao gồm nguồn thu và nhiệm vụ chi giữa ngân sách cấp tỉnh và ngân sách cấp xã. </w:t>
            </w:r>
          </w:p>
          <w:p w14:paraId="6C4D6C89" w14:textId="09C64D0B" w:rsidR="00F435AF" w:rsidRPr="003A7FC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926FD1">
              <w:rPr>
                <w:rFonts w:ascii="Times New Roman" w:eastAsia="Times New Roman" w:hAnsi="Times New Roman" w:cs="Times New Roman"/>
                <w:color w:val="000000"/>
                <w:kern w:val="0"/>
                <w:sz w:val="20"/>
                <w:szCs w:val="20"/>
                <w14:ligatures w14:val="none"/>
              </w:rPr>
              <w:t>- Theo quy định tại Nghị quyết 76/2025/UBTVQH ngày 14/4/2025 của UBTVQH: Căn cứ khả năng cân đối của ngân sách địa phương và nguồn hỗ trợ của ngân sách trung ương quy định tại khoản 2 Điều này, Ủy ban nhân dân cấp tỉnh quyết định cụ thể các nhiệm vụ chi tổ chức thực hiện sắp xếp đơn vị hành chính theo quy định tại khoản 1 Điều này và quyết định mức hỗ trợ cụ thể đối với từng đơn vị hành chính cấp xã thực hiện sắp xếp, báo cáo Hội đồng nhân dân cùng cấp tại kỳ họp gần nhất. Vì vậy, đề nghị Tỉnh thực hiện theo quy định.</w:t>
            </w:r>
          </w:p>
        </w:tc>
      </w:tr>
      <w:tr w:rsidR="00F435AF" w:rsidRPr="00CB19B3" w14:paraId="6C9BC07B" w14:textId="7149BA4E" w:rsidTr="00982689">
        <w:trPr>
          <w:trHeight w:val="2240"/>
        </w:trPr>
        <w:tc>
          <w:tcPr>
            <w:tcW w:w="720" w:type="dxa"/>
            <w:shd w:val="clear" w:color="auto" w:fill="auto"/>
            <w:vAlign w:val="center"/>
          </w:tcPr>
          <w:p w14:paraId="7985B48E" w14:textId="2D91C729"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44</w:t>
            </w:r>
          </w:p>
        </w:tc>
        <w:tc>
          <w:tcPr>
            <w:tcW w:w="1350" w:type="dxa"/>
            <w:shd w:val="clear" w:color="auto" w:fill="auto"/>
            <w:vAlign w:val="center"/>
            <w:hideMark/>
          </w:tcPr>
          <w:p w14:paraId="196CAF76"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Quảng Bình</w:t>
            </w:r>
          </w:p>
        </w:tc>
        <w:tc>
          <w:tcPr>
            <w:tcW w:w="6480" w:type="dxa"/>
            <w:shd w:val="clear" w:color="auto" w:fill="auto"/>
            <w:vAlign w:val="center"/>
            <w:hideMark/>
          </w:tcPr>
          <w:p w14:paraId="79940FB7"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Thực hiện Nghị quyết số 60-NQ/TW ngày 12/4/2025 của Ban chấp hành Trung ương Đảng khóa XIII, Tỉnh ủy, UBND tỉnh Quảng Bình đã khẩn trương chỉ đạo các cơ quan chuyên môn xây dựng phương án sắp xếp, bố trí trụ sở làm việc, trang thiết bị bố trí bố trí nhà công vụ… để kịp thời ổn định điều kiện làm việc, nơi ở, điều kiện sinh hoạt cho cán bộ công chức khi thực hiện sáp nhập tỉnh, theo đó trên cơ sở thực trạng hiện có và đề xuất của các cơ quan, đơn vị, địa phương, UBND tỉnh Quảng Bình dự kiến tổng kinh phí thực hiện sửa chữa cải tạo, trụ sở làm việc, nhà công vụ, mua sắm tài sản, trang thiết bị làm việc trên địa bàn tỉnh là: 441,799 triệu đồng. Với số kinh phí khá lớn như trên, trong điều kiện ngân sách địa phương còn hạn chế, gặp rất nhiều khó khăn trong việc cân đối các nguồn lực để vừa đảm bảo duy trì các nhiệm vụ quan trọng đã được dự toán trong năm 2025, vừa đảm bảo các chính sách an sinh xã hội đã được trung ương và địa phương ban hành...</w:t>
            </w:r>
          </w:p>
        </w:tc>
        <w:tc>
          <w:tcPr>
            <w:tcW w:w="7560" w:type="dxa"/>
            <w:vAlign w:val="center"/>
          </w:tcPr>
          <w:p w14:paraId="347D29F6" w14:textId="5B14E648" w:rsidR="00F435AF" w:rsidRPr="0056332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83313E">
              <w:rPr>
                <w:rFonts w:ascii="Times New Roman" w:eastAsia="Times New Roman" w:hAnsi="Times New Roman" w:cs="Times New Roman"/>
                <w:color w:val="000000"/>
                <w:kern w:val="0"/>
                <w:sz w:val="20"/>
                <w:szCs w:val="20"/>
                <w14:ligatures w14:val="none"/>
              </w:rPr>
              <w:t>Đề nghị địa phương căn cứ Công điện số 95/CĐ-TTg ngày 22/6/2025 của Thủ tướng Chính phủ về việc đảm bảo cơ sở, vật chất cho các cơ quan, tổ chức đơn vị của Nhà nước khi thực hiện sắp xếp, tinh gọn bộ máy, sắp xếp ĐVHC xây dựng mô hình CQĐP 02 cấp để triển khai thực hiện. Trường hợp khó khăn về nguồn kinh phí thì đề nghị các địa phương rà soát, báo cáo theo đúng chỉ đạo của Thủ tướng Chính phủ tại Công điện số 95/CĐ-TTg. Trước mắt, đề nghị Tỉnh sử dụng nguồn NSTW đã bổ sung (Quyết định số 1353/QĐ-TTg ngày 25/6/2025 của Thủ tướng Chính phủ về việc bổ sung có mục tiêu từ ngân sách trung ương cho các địa phương để hỗ trợ kinh phí sắp xếp đơn vị hành chính cấp tỉnh, cấp xã), chủ động sử dụng nguồn NSĐP và các nguồn tài chính hợp pháp khác để thực hiện</w:t>
            </w:r>
            <w:r>
              <w:rPr>
                <w:rFonts w:ascii="Times New Roman" w:eastAsia="Times New Roman" w:hAnsi="Times New Roman" w:cs="Times New Roman"/>
                <w:color w:val="000000"/>
                <w:kern w:val="0"/>
                <w:sz w:val="20"/>
                <w:szCs w:val="20"/>
                <w:lang w:val="vi-VN"/>
                <w14:ligatures w14:val="none"/>
              </w:rPr>
              <w:t>.</w:t>
            </w:r>
          </w:p>
        </w:tc>
      </w:tr>
      <w:tr w:rsidR="00F435AF" w:rsidRPr="00636D4C" w14:paraId="63667B6A" w14:textId="40BFA44C" w:rsidTr="00982689">
        <w:trPr>
          <w:trHeight w:val="1120"/>
        </w:trPr>
        <w:tc>
          <w:tcPr>
            <w:tcW w:w="720" w:type="dxa"/>
            <w:shd w:val="clear" w:color="auto" w:fill="auto"/>
            <w:vAlign w:val="center"/>
          </w:tcPr>
          <w:p w14:paraId="2519D098" w14:textId="22FE24A7"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45</w:t>
            </w:r>
          </w:p>
        </w:tc>
        <w:tc>
          <w:tcPr>
            <w:tcW w:w="1350" w:type="dxa"/>
            <w:shd w:val="clear" w:color="auto" w:fill="auto"/>
            <w:vAlign w:val="center"/>
            <w:hideMark/>
          </w:tcPr>
          <w:p w14:paraId="6A640E83"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Đà Nẵng</w:t>
            </w:r>
          </w:p>
        </w:tc>
        <w:tc>
          <w:tcPr>
            <w:tcW w:w="6480" w:type="dxa"/>
            <w:shd w:val="clear" w:color="auto" w:fill="auto"/>
            <w:vAlign w:val="center"/>
            <w:hideMark/>
          </w:tcPr>
          <w:p w14:paraId="1B8DB9BE" w14:textId="01E8687B"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Trung ương chưa có hướng dẫn, quy định cụ thể thời điểm khóa sổ, xác nhận số liệu bàn giao các chương trình, nhiệm vụ, dự án do UBND quận/huyện quản lý bàn giao cho thành phố hoặc phường/xã (thành phố cũ) và thời điểm khóa sổ, xác nhận số liệu bàn giao các chương trình, nhiệm vụ, dự án do thành phố cũ quản lý bàn giao cho thành phố mới khi sáp nhập tỉnh Quảng Nam và thành phố Đà Nẵng.</w:t>
            </w:r>
          </w:p>
        </w:tc>
        <w:tc>
          <w:tcPr>
            <w:tcW w:w="7560" w:type="dxa"/>
            <w:vAlign w:val="center"/>
          </w:tcPr>
          <w:p w14:paraId="130EE0F6" w14:textId="293BB065"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Về tiến độ thực hiện bàn giao hồ sơ, tài liệu: Việc bàn giao hồ sơ, tài liệu là vấn đề chung của nhiều lĩnh vực (như: bàn giao hồ sơ đất đai, hồ sơ giải phóng mặt bằng dở dang, hồ sơ quản lý dự án đầu tư, hồ sơ vụ án, vụ việc…), dự kiến được quy định chung tại điều khoản chuyển tiếp Luật Tổ chức chính quyền địa phương</w:t>
            </w:r>
            <w:r w:rsidRPr="00B370F0">
              <w:rPr>
                <w:rFonts w:ascii="Times New Roman" w:eastAsia="Times New Roman" w:hAnsi="Times New Roman" w:cs="Times New Roman"/>
                <w:color w:val="000000"/>
                <w:kern w:val="0"/>
                <w:sz w:val="20"/>
                <w:szCs w:val="20"/>
                <w:lang w:val="vi-VN"/>
                <w14:ligatures w14:val="none"/>
              </w:rPr>
              <w:t xml:space="preserve"> năm 2025</w:t>
            </w:r>
            <w:r w:rsidRPr="00636D4C">
              <w:rPr>
                <w:rFonts w:ascii="Times New Roman" w:eastAsia="Times New Roman" w:hAnsi="Times New Roman" w:cs="Times New Roman"/>
                <w:color w:val="000000"/>
                <w:kern w:val="0"/>
                <w:sz w:val="20"/>
                <w:szCs w:val="20"/>
                <w:lang w:val="vi-VN"/>
                <w14:ligatures w14:val="none"/>
              </w:rPr>
              <w:t>, do đó, đề nghị các địa phương thực hiện việc bàn giao hồ sơ, tài liệu theo quy định chuyển tiếp tại Luật Tổ chức chính quyền địa phương.</w:t>
            </w:r>
          </w:p>
        </w:tc>
      </w:tr>
      <w:tr w:rsidR="00F435AF" w:rsidRPr="00CB19B3" w14:paraId="4EA5DFF3" w14:textId="3CD8FFAE" w:rsidTr="00982689">
        <w:trPr>
          <w:trHeight w:val="840"/>
        </w:trPr>
        <w:tc>
          <w:tcPr>
            <w:tcW w:w="720" w:type="dxa"/>
            <w:shd w:val="clear" w:color="auto" w:fill="auto"/>
            <w:noWrap/>
            <w:vAlign w:val="center"/>
          </w:tcPr>
          <w:p w14:paraId="6D998FD6" w14:textId="09B779A4"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46</w:t>
            </w:r>
          </w:p>
        </w:tc>
        <w:tc>
          <w:tcPr>
            <w:tcW w:w="1350" w:type="dxa"/>
            <w:shd w:val="clear" w:color="auto" w:fill="auto"/>
            <w:noWrap/>
            <w:vAlign w:val="center"/>
            <w:hideMark/>
          </w:tcPr>
          <w:p w14:paraId="372FE806" w14:textId="4AF6F7CE"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Đà Nẵng</w:t>
            </w:r>
          </w:p>
        </w:tc>
        <w:tc>
          <w:tcPr>
            <w:tcW w:w="6480" w:type="dxa"/>
            <w:shd w:val="clear" w:color="auto" w:fill="auto"/>
            <w:vAlign w:val="center"/>
            <w:hideMark/>
          </w:tcPr>
          <w:p w14:paraId="43E4FB95" w14:textId="7E5488BD"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Tại Nghị định số 125/2025/NĐ-CP, Chính phủ chưa quy định cụ thể thẩm quyền quyết định điều chỉnh kế hoạch vốn đầu tư công khi chuyển tiếp quản lý các chương trình, nhiệm vụ, dự án, kế hoạch đầu tư công từ UBND quận/huyện sang thành phố hoặc phường/xã quản lý trước khi sáp nhập, hợp nhất đơn vị hành chính cấp tỉnh.</w:t>
            </w:r>
          </w:p>
        </w:tc>
        <w:tc>
          <w:tcPr>
            <w:tcW w:w="7560" w:type="dxa"/>
            <w:vAlign w:val="center"/>
          </w:tcPr>
          <w:p w14:paraId="6BD58688" w14:textId="52929D14" w:rsidR="00F435AF" w:rsidRPr="00A569A2"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Điểm b khoản 4 Điều 7 Nghị định số 125/2025/NĐ-CP ngày 11/6/2025 đã quy định thẩm quyền quyết định điều chỉnh Kế hoạch đầu tư công trung hạn và hằng năm của cấp huyện vào Kế hoạch đầu tư công trung hạn và hằng năm của ngân sách cấp tỉnh hoặc ngân sách cấp xã.</w:t>
            </w:r>
          </w:p>
        </w:tc>
      </w:tr>
      <w:tr w:rsidR="00F435AF" w:rsidRPr="00CB19B3" w14:paraId="3C893F95" w14:textId="799704D1" w:rsidTr="00982689">
        <w:trPr>
          <w:trHeight w:val="571"/>
        </w:trPr>
        <w:tc>
          <w:tcPr>
            <w:tcW w:w="720" w:type="dxa"/>
            <w:shd w:val="clear" w:color="auto" w:fill="auto"/>
            <w:noWrap/>
            <w:vAlign w:val="center"/>
          </w:tcPr>
          <w:p w14:paraId="4C8D4A0A" w14:textId="5B86E244"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47</w:t>
            </w:r>
          </w:p>
        </w:tc>
        <w:tc>
          <w:tcPr>
            <w:tcW w:w="1350" w:type="dxa"/>
            <w:shd w:val="clear" w:color="auto" w:fill="auto"/>
            <w:noWrap/>
            <w:vAlign w:val="center"/>
            <w:hideMark/>
          </w:tcPr>
          <w:p w14:paraId="635E3686" w14:textId="11E8D6F3"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Đà Nẵng</w:t>
            </w:r>
          </w:p>
        </w:tc>
        <w:tc>
          <w:tcPr>
            <w:tcW w:w="6480" w:type="dxa"/>
            <w:shd w:val="clear" w:color="auto" w:fill="auto"/>
            <w:vAlign w:val="center"/>
            <w:hideMark/>
          </w:tcPr>
          <w:p w14:paraId="305EAB2A" w14:textId="47C32814" w:rsidR="00F435AF" w:rsidRPr="00485F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Kiến nghị 3. Tại điểm a, khoản 4, điều 7, Nghị định số 125/2025/NĐ-CP quy định về thẩm quyền quyết định kế hoạch đầu tư công trung hạn và hằng năm “a) Đối với Kế hoạch đầu tư công trung hạn vốn ngân sách nhà nước giai đoạn 2021</w:t>
            </w:r>
            <w:r>
              <w:rPr>
                <w:rFonts w:ascii="Times New Roman" w:eastAsia="Times New Roman" w:hAnsi="Times New Roman" w:cs="Times New Roman"/>
                <w:color w:val="000000"/>
                <w:kern w:val="0"/>
                <w:sz w:val="20"/>
                <w:szCs w:val="20"/>
                <w:lang w:val="vi-VN"/>
                <w14:ligatures w14:val="none"/>
              </w:rPr>
              <w:t>-</w:t>
            </w:r>
            <w:r w:rsidRPr="00DD7D32">
              <w:rPr>
                <w:rFonts w:ascii="Times New Roman" w:eastAsia="Times New Roman" w:hAnsi="Times New Roman" w:cs="Times New Roman"/>
                <w:color w:val="000000"/>
                <w:kern w:val="0"/>
                <w:sz w:val="20"/>
                <w:szCs w:val="20"/>
                <w14:ligatures w14:val="none"/>
              </w:rPr>
              <w:t>2025, Kế hoạch đầu tư công vốn ngân sách nhà nước năm 2025 và Kế hoạch đầu tư công vốn ngân sách nhà nước năm 2024 được cấp có thẩm quyền cho phép kéo dài thời gian thực hiện và giải ngân sang kế hoạch năm 2025 theo quy định tại khoản 9 Điều 59, khoản 7 Điều 60, khoản 2 Điều 72 Luật Đầu tư công: tỉnh, thành phố trực thuộc trung ương sau khi sắp xếp tiếp nhận toàn bộ kế hoạch đầu tư công của các tỉnh, thành phố trực thuộc trung ương trước khi sắp xếp”. Tuy nhiên, không quy định thẩm quyền thuộc HĐND hay UBND cấp tỉnh.</w:t>
            </w:r>
          </w:p>
        </w:tc>
        <w:tc>
          <w:tcPr>
            <w:tcW w:w="7560" w:type="dxa"/>
            <w:vAlign w:val="center"/>
          </w:tcPr>
          <w:p w14:paraId="34F9595E" w14:textId="77777777" w:rsidR="00F435AF" w:rsidRPr="00485F6A"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485F6A">
              <w:rPr>
                <w:rFonts w:ascii="Times New Roman" w:eastAsia="Times New Roman" w:hAnsi="Times New Roman" w:cs="Times New Roman"/>
                <w:color w:val="000000"/>
                <w:kern w:val="0"/>
                <w:sz w:val="20"/>
                <w:szCs w:val="20"/>
                <w14:ligatures w14:val="none"/>
              </w:rPr>
              <w:t>- Việc điều chỉnh kế hoạch 2021 - 2025 và kế hoạch năm 2025 phát sinh tại thời điểm nào thì do cấp có thẩm quyền tại thời điểm đó quyết định.</w:t>
            </w:r>
          </w:p>
          <w:p w14:paraId="31A0B80B" w14:textId="5CE629B6" w:rsidR="00F435AF" w:rsidRPr="00DD7D32"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485F6A">
              <w:rPr>
                <w:rFonts w:ascii="Times New Roman" w:eastAsia="Times New Roman" w:hAnsi="Times New Roman" w:cs="Times New Roman"/>
                <w:color w:val="000000"/>
                <w:kern w:val="0"/>
                <w:sz w:val="20"/>
                <w:szCs w:val="20"/>
                <w14:ligatures w14:val="none"/>
              </w:rPr>
              <w:t>- Các vấn đề chung (như tiếp nhận thẩm quyền, bàn giao hồ sơ) được thực hiện theo quy định chuyển tiếp của Luật Tổ chức chính quyền địa phương và các Nghị quyết của Quốc hội về nhập tỉnh, tổ chức chính quyền 02 cấp</w:t>
            </w:r>
          </w:p>
        </w:tc>
      </w:tr>
      <w:tr w:rsidR="00F435AF" w:rsidRPr="00636D4C" w14:paraId="14C5D5E7" w14:textId="7DC14A0B" w:rsidTr="00982689">
        <w:trPr>
          <w:trHeight w:val="832"/>
        </w:trPr>
        <w:tc>
          <w:tcPr>
            <w:tcW w:w="720" w:type="dxa"/>
            <w:shd w:val="clear" w:color="auto" w:fill="auto"/>
            <w:vAlign w:val="center"/>
          </w:tcPr>
          <w:p w14:paraId="2C46B605" w14:textId="70E575D3"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48</w:t>
            </w:r>
          </w:p>
        </w:tc>
        <w:tc>
          <w:tcPr>
            <w:tcW w:w="1350" w:type="dxa"/>
            <w:shd w:val="clear" w:color="auto" w:fill="auto"/>
            <w:vAlign w:val="center"/>
            <w:hideMark/>
          </w:tcPr>
          <w:p w14:paraId="2FC1AD51"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Bình Định</w:t>
            </w:r>
          </w:p>
        </w:tc>
        <w:tc>
          <w:tcPr>
            <w:tcW w:w="6480" w:type="dxa"/>
            <w:shd w:val="clear" w:color="auto" w:fill="auto"/>
            <w:vAlign w:val="center"/>
            <w:hideMark/>
          </w:tcPr>
          <w:p w14:paraId="5211D7C4" w14:textId="77777777" w:rsidR="00F435AF"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 xml:space="preserve">Về thực hiện nguồn vốn dầu tư công và việc điều chỉnh kế hoạch vốn đầu tư công giai đoạn 2026- 2030 Kính đề nghị Bộ Tài chính sớm tham mưu Chính phủ trinh Ủy ban Thường vụ Quốc hội sửa đổi Nghị quyết số 70/2025/UBTVQH15 quy định về nguyên tắc, tiêu chí và định mức phân bổ vốn dầu tư công nguồn ngân sách nhà nước giai đoạn 2026 - 2030 phù hợp với mô hình tổ chức chính quyền địa phương 02 cấp. Trên cơ sở đó, kính đề nghị Bộ Tài chính tham mưu Thủ tướng Chính phủ ban hành quyết định quy định chi tiết nguyên tắc, tiêu chí, định mức phân bổ vốn đầu tư công nguồn ngân sách nhà nước giai đoạn 2026-2030 để các địa phương có cơ sở triển khai thực hiện, xây dựng nhiệm vụ chi đầu tư các cấp ngân sách; nguyên tắc, tiêu chí và định mức phân bổ vốn đầu tư công nguồn ngân sách địa phương giai đoạn 2026-2030. </w:t>
            </w:r>
          </w:p>
          <w:p w14:paraId="0133BFC0" w14:textId="1CA3C6E4" w:rsidR="00F435AF"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Ngoài ra, đối với việc triển khai kế hoạch đầu tư công năm 2025 và giai đoạn 2021 - 2025: kính đề nghị Bộ Tài chính có hướng dẫn đối với việc điều chỉnh nguyên tắc, tiêu chí và định mức phân bổ vốn đầu tư công nguồn ngân sách nhà nước giai đoạn 2021-2025 để triển khai thực hiện trong thời gian còn lại của năm 2025, đồng thời có hướng dẫn đối với việc chuyển tiếp các dự án sử dụng vốn ngân sách huyện trong trường hợp chuyển về cấp tỉnh hoặc cấp xã quản lý khi thực hiện mô hình tổ chức chính quyền địa phương 02 cấp.</w:t>
            </w:r>
          </w:p>
          <w:p w14:paraId="3422CB8D" w14:textId="6004FE2A" w:rsidR="00F435AF" w:rsidRPr="00006CD6"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xml:space="preserve">Theo quy định tại khoản 4, Điều 7 của Nghị định số 125/2025/NĐ-CP quy định về phân định thẩm quyền của chính quyền địa phương 02 cấp trong lĩnh vực quản lý nhà nước của Bộ Tài chính: “Đối với Kế hoạch đầu tư công trung hạn giai đoạn 2021 - 2025, Kể hoạch đầu tư công năm 2025 và Kể hoạch đầu tư công vốn ngân sách nhà nước năm 2024 được cấp có thẩm quyền cho phép kéo dài thời gian thực hiện và giải ngân sang kế hoạch năm 2025 của ngân sách cấp huyện: Hội đồng nhân dân cấp tỉnh căn cứ cơ cấu nguồn vốn trong tổng mức đầu tu, phân cấp ngân sách địa phương, nhiệm vụ, chương trình, dự ản cụ thể sau khi tổ chức chính quyền địa phương 02 cấp quyết định việc điều chỉnh Kế hoạch đầu tư công trung hạn và hằng năm của cấp huyện vào Kể hoạch đầu tư công trung hạn và hằng năm của ngân sách cấp tỉnh hoặc Kế hoạch đầu tư công trung hạn và hằng năm của ngân sách cấp xã”. Đồng thời, theo hướng dẫn của Bộ Tài chính, phải thực hiện điều chỉnh toàn bộ kế hoạch đầu tư công trung hạn và hằng năm của cấp huyện (bao gồm cả các dự án đã hoàn thành). Do đó số lượng danh mục, dự án của cấp huyện là rất lớn gây khó khăn trong công tác </w:t>
            </w:r>
            <w:r w:rsidRPr="00EF276A">
              <w:rPr>
                <w:rFonts w:ascii="Times New Roman" w:eastAsia="Times New Roman" w:hAnsi="Times New Roman" w:cs="Times New Roman"/>
                <w:color w:val="000000"/>
                <w:kern w:val="0"/>
                <w:sz w:val="20"/>
                <w:szCs w:val="20"/>
                <w:lang w:val="vi-VN"/>
                <w14:ligatures w14:val="none"/>
              </w:rPr>
              <w:lastRenderedPageBreak/>
              <w:t>tổng hợp, xây dựng phương án điều chỉnh Kế hoạch đầu tư công trung hạn và hằng năm của cấp huyện</w:t>
            </w:r>
            <w:r w:rsidRPr="00CB19B3">
              <w:rPr>
                <w:rFonts w:ascii="Times New Roman" w:eastAsia="Times New Roman" w:hAnsi="Times New Roman" w:cs="Times New Roman"/>
                <w:color w:val="000000"/>
                <w:kern w:val="0"/>
                <w:sz w:val="20"/>
                <w:szCs w:val="20"/>
                <w:lang w:val="vi-VN"/>
                <w14:ligatures w14:val="none"/>
              </w:rPr>
              <w:t>.</w:t>
            </w:r>
          </w:p>
        </w:tc>
        <w:tc>
          <w:tcPr>
            <w:tcW w:w="7560" w:type="dxa"/>
            <w:vAlign w:val="center"/>
          </w:tcPr>
          <w:p w14:paraId="60E4C184" w14:textId="64689C7B"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lastRenderedPageBreak/>
              <w:t>Bộ Tài chính đã trả lời kiến nghị của tỉnh tại Phụ lục kèm theo công văn số 8614/BTC-KTĐP ngày 18/6/2025.</w:t>
            </w:r>
          </w:p>
          <w:p w14:paraId="7B429635" w14:textId="2BBB2AA5" w:rsidR="00F435AF" w:rsidRPr="00F747D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p>
        </w:tc>
      </w:tr>
      <w:tr w:rsidR="00F435AF" w:rsidRPr="00636D4C" w14:paraId="792924FA" w14:textId="4489662A" w:rsidTr="00982689">
        <w:trPr>
          <w:trHeight w:val="1960"/>
        </w:trPr>
        <w:tc>
          <w:tcPr>
            <w:tcW w:w="720" w:type="dxa"/>
            <w:shd w:val="clear" w:color="auto" w:fill="auto"/>
            <w:noWrap/>
            <w:vAlign w:val="center"/>
          </w:tcPr>
          <w:p w14:paraId="04ABBDF0" w14:textId="6F3E934A"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49</w:t>
            </w:r>
          </w:p>
        </w:tc>
        <w:tc>
          <w:tcPr>
            <w:tcW w:w="1350" w:type="dxa"/>
            <w:shd w:val="clear" w:color="auto" w:fill="auto"/>
            <w:noWrap/>
            <w:vAlign w:val="center"/>
            <w:hideMark/>
          </w:tcPr>
          <w:p w14:paraId="4BA24A72" w14:textId="1FC65CC2"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Bình Định</w:t>
            </w:r>
          </w:p>
        </w:tc>
        <w:tc>
          <w:tcPr>
            <w:tcW w:w="6480" w:type="dxa"/>
            <w:shd w:val="clear" w:color="auto" w:fill="auto"/>
            <w:vAlign w:val="center"/>
            <w:hideMark/>
          </w:tcPr>
          <w:p w14:paraId="2C0EE257" w14:textId="41A69CCF"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Về việc cấp Giấy chứng nhận đăng ký hộ kinh doanh/hợp tác xã/liên hiệp hợp tác xã/tổ hợp tác Nhiệm vụ cấp Giấy chứng nhận đăng ký kinh doanh cho hộ kinh doanh/hợp tác xã/liên hiệp hợp tác xã/tổ hợp tác từ trước đến nay được thực hiện tại Phòng Tài chính - Kế hoạch cấp huyện. Kể từ ngày 01/7/2025 triền khai chính quyền địa phương 02 cấp, không còn đơn vị hành chính cấp huyện. Do đó kiến nghị Bộ Tài chính sớm có văn bản hướng dẫn thực hiện đối với nội dung cấp Giấy chứng nhận đăng ký hộ kinh doanh/hợp tác xã/liên hiệp hợp tác xã/tổ hợp tác để các địa phương triển khai thực hiện. Kiến nghị Bộ Tài chính nâng cấp Hệ thống Đăng ký hộ kinh doanh và Hệ thống Đăng ký hợp tác xã/liên hiệp hợp tác xã/tổ hợp tác nhằm đảm bảo việc nhập và trả kết quả cho người dân nhanh chóng, đúng thời gian quy định.</w:t>
            </w:r>
          </w:p>
        </w:tc>
        <w:tc>
          <w:tcPr>
            <w:tcW w:w="7560" w:type="dxa"/>
            <w:vAlign w:val="center"/>
          </w:tcPr>
          <w:p w14:paraId="641F3718" w14:textId="269CEDBA" w:rsidR="00F435AF" w:rsidRPr="00ED3370"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ED3370">
              <w:rPr>
                <w:rFonts w:ascii="Times New Roman" w:eastAsia="Times New Roman" w:hAnsi="Times New Roman" w:cs="Times New Roman"/>
                <w:color w:val="000000"/>
                <w:kern w:val="0"/>
                <w:sz w:val="20"/>
                <w:szCs w:val="20"/>
                <w:lang w:val="vi-VN"/>
                <w14:ligatures w14:val="none"/>
              </w:rPr>
              <w:t>- Việc cấp Giấy chứng nhận đăng ký hộ kinh doanh thực hiện theo quy định tại Nghị định số 168/2025/NĐ-CP ngày 30/6/2025 của Chính phủ về đăng ký doanh nghiệp và Thông tư số 68/2025/TT-BTC ngày 01/7/2025 của Bộ trưởng Bộ Tài chính ban hành biểu mẫu sử dụng trong đăng ký doanh nghiệp, đăng ký hộ kinh doanh. Theo đó, Cơ quan đăng ký kinh doanh cấp xã là cơ quan có thẩm quyền giải quyết thủ tục đăng ký hộ kinh doanh.</w:t>
            </w:r>
          </w:p>
          <w:p w14:paraId="1C9182FD" w14:textId="77777777" w:rsidR="00F435AF" w:rsidRPr="00ED3370"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ED3370">
              <w:rPr>
                <w:rFonts w:ascii="Times New Roman" w:eastAsia="Times New Roman" w:hAnsi="Times New Roman" w:cs="Times New Roman"/>
                <w:color w:val="000000"/>
                <w:kern w:val="0"/>
                <w:sz w:val="20"/>
                <w:szCs w:val="20"/>
                <w:lang w:val="vi-VN"/>
                <w14:ligatures w14:val="none"/>
              </w:rPr>
              <w:t>- Về việc cấp Giấy chứng nhận đăng ký hợp tác xã, Giấy chứng nhận đăng ký tổ hợp tác: Việc chuyển giao thẩm quyền, nhiệm vụ, trách nhiệm trong đăng ký tổ hợp tác, hợp tác xã, liên hiệp hợp tác xã của Cơ quan đăng ký kinh doanh cấp huyện sang Cơ quan đăng ký kinh doanh cấp xã đã được quy định cụ thể tại các Điều 33, 34, 35 và 36 Nghị định số 125/2025/NĐ-CP ngày 11/6/2025 của Chính phủ quy định về phân định thẩm quyền của chính quyền địa phương 02 cấp trong lĩnh vực quản lý nhà nước của Bộ Tài chính và Thông tư số 43/2025/TT-BTC ngày 17/6/2025 của Bộ trưởng Bộ Tài chính ban hành biểu mẫu sử dụng trong lĩnh vực quản lý nhà nước đối với hộ kinh doanh, tổ hợp tác, hợp tác xã, liên hiệp hợp tác xã khi tổ chức chính quyền địa phương 02 cấp.</w:t>
            </w:r>
          </w:p>
          <w:p w14:paraId="155AF3A3" w14:textId="77777777" w:rsidR="00F435AF" w:rsidRPr="00ED3370"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ED3370">
              <w:rPr>
                <w:rFonts w:ascii="Times New Roman" w:eastAsia="Times New Roman" w:hAnsi="Times New Roman" w:cs="Times New Roman"/>
                <w:color w:val="000000"/>
                <w:kern w:val="0"/>
                <w:sz w:val="20"/>
                <w:szCs w:val="20"/>
                <w:lang w:val="vi-VN"/>
                <w14:ligatures w14:val="none"/>
              </w:rPr>
              <w:t>- Ngoài ra, về việc hướng dẫn công tác đăng ký kinh doanh khi tổ chức chính quyền địa phương 02 cấp, Bộ Tài chính đã ban hành 03 văn bản hướng dẫn địa phương, bao gồm: Công văn số 4370/BTC-DNTN ngày 05/4/2025, Công văn số 7984/BTC-DNTN ngày 09/5/2025 và Công văn số 924/BTC-DNTN ngày 26/6/2025.</w:t>
            </w:r>
          </w:p>
          <w:p w14:paraId="66213D49" w14:textId="4B483ECA" w:rsidR="00F435AF" w:rsidRPr="00006CD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ED3370">
              <w:rPr>
                <w:rFonts w:ascii="Times New Roman" w:eastAsia="Times New Roman" w:hAnsi="Times New Roman" w:cs="Times New Roman"/>
                <w:color w:val="000000"/>
                <w:kern w:val="0"/>
                <w:sz w:val="20"/>
                <w:szCs w:val="20"/>
                <w:lang w:val="vi-VN"/>
                <w14:ligatures w14:val="none"/>
              </w:rPr>
              <w:t>- Bộ Tài chính sẽ tiến hành nâng cấp Hệ thống thông tin quốc gia về đăng ký doanh nghiệp, hộ kinh doanh, hợp tác xã để đáp ứng các quy định về tổ chức đơn vị hành chính các cấp theo mô hình chính quyền địa phương 02 cấp.</w:t>
            </w:r>
          </w:p>
        </w:tc>
      </w:tr>
      <w:tr w:rsidR="00F435AF" w:rsidRPr="00636D4C" w14:paraId="6D306934" w14:textId="2439062B" w:rsidTr="00982689">
        <w:trPr>
          <w:trHeight w:val="562"/>
        </w:trPr>
        <w:tc>
          <w:tcPr>
            <w:tcW w:w="720" w:type="dxa"/>
            <w:shd w:val="clear" w:color="auto" w:fill="auto"/>
            <w:noWrap/>
            <w:vAlign w:val="center"/>
          </w:tcPr>
          <w:p w14:paraId="3A7C881A" w14:textId="3CF44E66"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50</w:t>
            </w:r>
          </w:p>
        </w:tc>
        <w:tc>
          <w:tcPr>
            <w:tcW w:w="1350" w:type="dxa"/>
            <w:shd w:val="clear" w:color="auto" w:fill="auto"/>
            <w:noWrap/>
            <w:vAlign w:val="center"/>
            <w:hideMark/>
          </w:tcPr>
          <w:p w14:paraId="567E1BE5" w14:textId="3FAE7AB8"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Bình Định</w:t>
            </w:r>
          </w:p>
        </w:tc>
        <w:tc>
          <w:tcPr>
            <w:tcW w:w="6480" w:type="dxa"/>
            <w:shd w:val="clear" w:color="auto" w:fill="auto"/>
            <w:vAlign w:val="center"/>
            <w:hideMark/>
          </w:tcPr>
          <w:p w14:paraId="76F6A009"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 xml:space="preserve">Về việc thực hiện các Chương trình mục tiêu quốc gia: </w:t>
            </w:r>
          </w:p>
          <w:p w14:paraId="2ECA9898" w14:textId="766A7311"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xml:space="preserve">Kính đề nghị Trung ương đồng ý cho phép điều </w:t>
            </w:r>
            <w:r>
              <w:rPr>
                <w:rFonts w:ascii="Times New Roman" w:eastAsia="Times New Roman" w:hAnsi="Times New Roman" w:cs="Times New Roman"/>
                <w:color w:val="000000"/>
                <w:kern w:val="0"/>
                <w:sz w:val="20"/>
                <w:szCs w:val="20"/>
                <w:lang w:val="vi-VN"/>
                <w14:ligatures w14:val="none"/>
              </w:rPr>
              <w:t>chỉnh</w:t>
            </w:r>
            <w:r w:rsidRPr="00EF276A">
              <w:rPr>
                <w:rFonts w:ascii="Times New Roman" w:eastAsia="Times New Roman" w:hAnsi="Times New Roman" w:cs="Times New Roman"/>
                <w:color w:val="000000"/>
                <w:kern w:val="0"/>
                <w:sz w:val="20"/>
                <w:szCs w:val="20"/>
                <w:lang w:val="vi-VN"/>
                <w14:ligatures w14:val="none"/>
              </w:rPr>
              <w:t xml:space="preserve"> dự toán từ các năm trước chuyển sang năm 2025 (bao gồm vốn đầu tư và sự nghiệp) thực hiện các Chương trình mục tiêu quốc gia như quy định tại Nghị quyết số 111/2024/QH15 của Quốc hội (Lý do: Một số công trình, dự án, nội dung, dự án thành phần có vốn còn kéo dài sang năm 2025 đến nay đã hoàn thành hết khối lượng hoặc không còn đối tượng thực hiện. Nếu việc kéo dài vốn sang năm 2025 nhưng chỉ thực hiện thủ tục kéo dài cho dự án, nội dung thành phần đó mà không điều chỉnh được sang cho dự án, nội dung thành phần khác trong cùng Chương trình mục tiêu quốc gia thì sẽ không giải ngân được vốn, hiệu </w:t>
            </w:r>
            <w:r w:rsidRPr="00EF276A">
              <w:rPr>
                <w:rFonts w:ascii="Times New Roman" w:eastAsia="Times New Roman" w:hAnsi="Times New Roman" w:cs="Times New Roman"/>
                <w:color w:val="000000"/>
                <w:kern w:val="0"/>
                <w:sz w:val="20"/>
                <w:szCs w:val="20"/>
                <w:lang w:val="vi-VN"/>
                <w14:ligatures w14:val="none"/>
              </w:rPr>
              <w:lastRenderedPageBreak/>
              <w:t>quả sử dụng chưa cao). Trong quá trình thực hiện các dự án đầu tư thuộc các Chương trình mục tiêu quốc gia, thì có dự án do Ban Quản lý dự án đầu tư cấp huyện làm chủ đầu tư hoặc UBND xã làm chủ đầu tư. Tuy nhiên, thời gian đến thực hiện chính  quyền 02 cấp thì các dự án do UBND xã làm chủ đầu tư thì UBND xã đó vẫn tiếp tục đầu tư nhưng các dự án do Ban Quản lý dự án dầu tư cấp huyện làm chủ dầu tư thì sẽ được điều chuyển về các Ban Quản lý dự án chuyên ngành của Tỉnh hay chuyền về UBND cấp xã mới để tiếp tục triển khai. Kính đề nghị các Bộ, ngành Trung ương hướng dẫn cụ thể.</w:t>
            </w:r>
          </w:p>
          <w:p w14:paraId="1CE2B210" w14:textId="3FD5E289" w:rsidR="00F435AF" w:rsidRPr="00995B68"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Việc phân bổ vốn thực hiện các Chương trình mục tiêu quốc gia thực hiện theo nguyên tắc, tiêu chí, định mức. Vì vậy, khi hợp nhất 02 tỉnh thì có phải xây dựng lại nguyên tắc, tiêu chí, định mức chung hay cứ tiếp tục triển khai thực hiện</w:t>
            </w:r>
            <w:r>
              <w:rPr>
                <w:rFonts w:ascii="Times New Roman" w:eastAsia="Times New Roman" w:hAnsi="Times New Roman" w:cs="Times New Roman"/>
                <w:color w:val="000000"/>
                <w:kern w:val="0"/>
                <w:sz w:val="20"/>
                <w:szCs w:val="20"/>
                <w:lang w:val="vi-VN"/>
                <w14:ligatures w14:val="none"/>
              </w:rPr>
              <w:t xml:space="preserve"> </w:t>
            </w:r>
            <w:r w:rsidRPr="00EF276A">
              <w:rPr>
                <w:rFonts w:ascii="Times New Roman" w:eastAsia="Times New Roman" w:hAnsi="Times New Roman" w:cs="Times New Roman"/>
                <w:color w:val="000000"/>
                <w:kern w:val="0"/>
                <w:sz w:val="20"/>
                <w:szCs w:val="20"/>
                <w:lang w:val="vi-VN"/>
                <w14:ligatures w14:val="none"/>
              </w:rPr>
              <w:t>hết giai đoạn 2021 – 2025 và sẽ tiến hành xây dựng nguyên tắc, tiêu chí, định mức cho giai đoạn 2026 - 2030 khi có hướng dẫn của Trung ương. Kính đề nghị các Bộ, ngành Trung ương hướng dẫn.</w:t>
            </w:r>
          </w:p>
          <w:p w14:paraId="3F0100D9" w14:textId="1D588B40" w:rsidR="00F435AF" w:rsidRPr="00995B68" w:rsidRDefault="00F435AF" w:rsidP="00F435AF">
            <w:pPr>
              <w:rPr>
                <w:rFonts w:ascii="Times New Roman" w:eastAsia="Times New Roman" w:hAnsi="Times New Roman" w:cs="Times New Roman"/>
                <w:sz w:val="20"/>
                <w:szCs w:val="20"/>
                <w:lang w:val="vi-VN"/>
              </w:rPr>
            </w:pPr>
          </w:p>
        </w:tc>
        <w:tc>
          <w:tcPr>
            <w:tcW w:w="7560" w:type="dxa"/>
            <w:vAlign w:val="center"/>
          </w:tcPr>
          <w:p w14:paraId="482EB51B" w14:textId="32D3E50E" w:rsidR="00F435AF" w:rsidRPr="000628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0628AF">
              <w:rPr>
                <w:rFonts w:ascii="Times New Roman" w:eastAsia="Times New Roman" w:hAnsi="Times New Roman" w:cs="Times New Roman"/>
                <w:color w:val="000000"/>
                <w:kern w:val="0"/>
                <w:sz w:val="20"/>
                <w:szCs w:val="20"/>
                <w:lang w:val="vi-VN"/>
                <w14:ligatures w14:val="none"/>
              </w:rPr>
              <w:lastRenderedPageBreak/>
              <w:t xml:space="preserve">Tại khoản 3 Điều 53 Luật Ngân sách nhà nước quy định thời gian điều chỉnh dự toán đã giao cho các đơn vị sử dụng ngân sách hoàn thành trước ngày 15 tháng 11 năm hiện hành. </w:t>
            </w:r>
          </w:p>
          <w:p w14:paraId="42E6A6DF" w14:textId="77777777" w:rsidR="00F435AF" w:rsidRPr="000628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0628AF">
              <w:rPr>
                <w:rFonts w:ascii="Times New Roman" w:eastAsia="Times New Roman" w:hAnsi="Times New Roman" w:cs="Times New Roman"/>
                <w:color w:val="000000"/>
                <w:kern w:val="0"/>
                <w:sz w:val="20"/>
                <w:szCs w:val="20"/>
                <w:lang w:val="vi-VN"/>
                <w14:ligatures w14:val="none"/>
              </w:rPr>
              <w:t>Tại điểm a khoản 2 Nghị quyết số 111/2024/QH15 ngày 18/01/2024 quy định hội đồng nhân dân cấp tỉnh quyết định điều chỉnh dự toán ngân sách nhà nước năm 2024 (chi thường xuyên) và dự toán ngân sách nhà nước chưa giải ngân hết trong năm 2023 (bao gồm chi đầu tư, chi thường xuyên) của các chương trình mục tiêu quốc gia đã được chuyển sang năm 2024 theo quy định của Nghị quyết số 104/2023/QH15 ngày 10/11/2023, Nghị quyết số 108/2023/QH15 ngày 29/11/2023 của Quốc hội; không áp dụng đối với Nghị quyết số 174/2024/QH15 ngày 30/11/2024 của Quốc hội.</w:t>
            </w:r>
          </w:p>
          <w:p w14:paraId="3AAE61A2" w14:textId="04A330E3"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0628AF">
              <w:rPr>
                <w:rFonts w:ascii="Times New Roman" w:eastAsia="Times New Roman" w:hAnsi="Times New Roman" w:cs="Times New Roman"/>
                <w:color w:val="000000"/>
                <w:kern w:val="0"/>
                <w:sz w:val="20"/>
                <w:szCs w:val="20"/>
                <w:lang w:val="vi-VN"/>
                <w14:ligatures w14:val="none"/>
              </w:rPr>
              <w:lastRenderedPageBreak/>
              <w:t>Do vậy, đề nghị địa phương tổ chức thực hiện theo quy định. Trường hợp địa phương đã hoàn thành các dự án, nhiệm vụ, chính sách, còn dư dự toán không sử dụng hết, đề nghị hoàn trả ngân sách nhà nước theo quy định.</w:t>
            </w:r>
          </w:p>
        </w:tc>
      </w:tr>
      <w:tr w:rsidR="00F435AF" w:rsidRPr="00CB19B3" w14:paraId="59DC03A4" w14:textId="4EE45EAA" w:rsidTr="00982689">
        <w:trPr>
          <w:trHeight w:val="1680"/>
        </w:trPr>
        <w:tc>
          <w:tcPr>
            <w:tcW w:w="720" w:type="dxa"/>
            <w:shd w:val="clear" w:color="auto" w:fill="auto"/>
            <w:vAlign w:val="center"/>
          </w:tcPr>
          <w:p w14:paraId="1B66070A" w14:textId="0C4DE134"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51</w:t>
            </w:r>
          </w:p>
        </w:tc>
        <w:tc>
          <w:tcPr>
            <w:tcW w:w="1350" w:type="dxa"/>
            <w:shd w:val="clear" w:color="auto" w:fill="auto"/>
            <w:vAlign w:val="center"/>
            <w:hideMark/>
          </w:tcPr>
          <w:p w14:paraId="3428D650"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Lâm Đồng</w:t>
            </w:r>
          </w:p>
        </w:tc>
        <w:tc>
          <w:tcPr>
            <w:tcW w:w="6480" w:type="dxa"/>
            <w:shd w:val="clear" w:color="auto" w:fill="auto"/>
            <w:vAlign w:val="center"/>
            <w:hideMark/>
          </w:tcPr>
          <w:p w14:paraId="1DB28013" w14:textId="5E4028F9"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Đối với quy hoạch tỉnh: hiện nay, Luật Quy hoạch sửa đổi, bổ sung đang được lấy ý kiến, trong đó có các nội dung về việc điều chỉnh quy hoạch các tỉnh sau sáp nhập. Kính đề nghị Quốc hội, Chính phủ các Bộ ngành sớm ban hành Luật Quy hoạch sửa đổi, Nghị định, Thông tư hướng dẫn để các tỉnh có thời gian nghiên cứu kỹ về quy trình, thủ tục cũng như thẩm quyền để triển lập quy hoạch tỉnh sau sáp nhập. Đồng thời kiến nghị Trung ương, trong thời gian điều chỉnh Quy hoạch tỉnh Lâm Đồng chưa được phê duyệt thì cho phép tiếp tục thực hiện theo quy hoạch các tỉnh trước khi sáp nhập để triển khai kịp thời các nhiệm vụ đảm bảo việc không làm gián đoạn việc thẩm định các dự án phát triển kinh tế xã hội của địa phương.</w:t>
            </w:r>
          </w:p>
        </w:tc>
        <w:tc>
          <w:tcPr>
            <w:tcW w:w="7560" w:type="dxa"/>
            <w:vAlign w:val="center"/>
          </w:tcPr>
          <w:p w14:paraId="7762647A" w14:textId="71EACCE8" w:rsidR="00F435AF" w:rsidRPr="00C00306"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C00306">
              <w:rPr>
                <w:rFonts w:ascii="Times New Roman" w:eastAsia="Times New Roman" w:hAnsi="Times New Roman" w:cs="Times New Roman"/>
                <w:color w:val="000000"/>
                <w:kern w:val="0"/>
                <w:sz w:val="20"/>
                <w:szCs w:val="20"/>
                <w14:ligatures w14:val="none"/>
              </w:rPr>
              <w:t>Thực hiện Nghị quyết Kỳ họp thứ 9, Quốc hội khoá XV số 227/2025/QH15 ngày 27 tháng 6 năm 2025 và Nghị quyết số 206/2025/QH15 ngày 24 tháng 6 năm 2025 của Quốc hội về cơ chế đặc biệt xử lý khó khăn, vướng mắc do quy định của pháp luật; để bảo đảm không làm gián đoạn hoạt động đầu tư, sản xuất kinh doanh, phát triển kinh tế - xã hội của quốc gia, vùng và các địa phương trong thời gian chưa ban hành Luật Quy hoạch (sửa đổi) và chưa sửa đổi, bổ sung một số luật có quy định liên quan đến quy hoạch, Bộ Tài chính đã chủ động xây dựng dự thảo Nghị quyết của Chính phủ về giải pháp tiếp tục triển khai công tác quy hoạch gắn với sắp xếp đơn vị hành chính trong thời gian chưa ban hành Luật Quy hoạch (sửa đổi) gửi xin ý kiến các Bộ, ngành và địa phương tại văn bản số 9865/BTC-QLQH ngày 02/7/2025.</w:t>
            </w:r>
          </w:p>
          <w:p w14:paraId="2A107F4B" w14:textId="17B8419E" w:rsidR="00F435AF" w:rsidRPr="00C0030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C00306">
              <w:rPr>
                <w:rFonts w:ascii="Times New Roman" w:eastAsia="Times New Roman" w:hAnsi="Times New Roman" w:cs="Times New Roman"/>
                <w:color w:val="000000"/>
                <w:kern w:val="0"/>
                <w:sz w:val="20"/>
                <w:szCs w:val="20"/>
                <w14:ligatures w14:val="none"/>
              </w:rPr>
              <w:t xml:space="preserve">Tại dự thảo Nghị quyết, Bộ Tài chính đề xuất quy định: “Đối với các địa phương có sáp nhập đơn vị hành chính cấp tỉnh, cơ quan có thẩm quyền được phép căn cứ các quy hoạch tỉnh thời kỳ 2021-2030 đã được phê duyệt hoặc phê duyệt điều chỉnh để thẩm định, phê duyệt chủ trương đầu tư; thẩm định, phê duyệt đầu tư chương trình, dự án, nhiệm vụ đã có trong quy hoạch tỉnh hoặc phù hợp với các quy hoạch tỉnh tương ứng trước khi sáp nhập.”. Như vậy, sau khi dự thảo Nghị quyết được Chính phủ thông qua, tỉnh Lâm Đồng được phép căn cứ các quy hoạch tỉnh (Lâm Đồng, Bình Thuận, Đắk Nông) thời kỳ 2021-2030 đã được Thủ tướng Chính phủ phê duyệt để triển khai kịp thời các nhiệm vụ đảm bảo việc không làm gián đoạn việc thẩm định các dự án phát triển kinh tế xã hội của địa phương. Đồng thời, thực hiện nhiệm vụ Quốc hội và Chính phủ giao, Bộ Tài chính sẽ tham mưu Chính phủ tổng kết, đánh giá toàn diện kết quả triển khai thi hành Luật Quy hoạch, xây dựng hồ sơ dự thảo Luật Quy </w:t>
            </w:r>
            <w:r w:rsidRPr="00C00306">
              <w:rPr>
                <w:rFonts w:ascii="Times New Roman" w:eastAsia="Times New Roman" w:hAnsi="Times New Roman" w:cs="Times New Roman"/>
                <w:color w:val="000000"/>
                <w:kern w:val="0"/>
                <w:sz w:val="20"/>
                <w:szCs w:val="20"/>
                <w14:ligatures w14:val="none"/>
              </w:rPr>
              <w:lastRenderedPageBreak/>
              <w:t>hoạch (sửa đổi), báo cáo cấp có thẩm quyền và trình Kỳ họp thứ X, Quốc hội khóa XV xem xét, thông qua để thực hiện.</w:t>
            </w:r>
          </w:p>
        </w:tc>
      </w:tr>
      <w:tr w:rsidR="00F435AF" w:rsidRPr="00CB19B3" w14:paraId="5503E4BB" w14:textId="55F02A6D" w:rsidTr="00982689">
        <w:trPr>
          <w:trHeight w:val="840"/>
        </w:trPr>
        <w:tc>
          <w:tcPr>
            <w:tcW w:w="720" w:type="dxa"/>
            <w:shd w:val="clear" w:color="auto" w:fill="auto"/>
            <w:noWrap/>
            <w:vAlign w:val="center"/>
          </w:tcPr>
          <w:p w14:paraId="688483BE" w14:textId="04F62624"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lastRenderedPageBreak/>
              <w:t>52</w:t>
            </w:r>
          </w:p>
        </w:tc>
        <w:tc>
          <w:tcPr>
            <w:tcW w:w="1350" w:type="dxa"/>
            <w:shd w:val="clear" w:color="auto" w:fill="auto"/>
            <w:noWrap/>
            <w:vAlign w:val="center"/>
            <w:hideMark/>
          </w:tcPr>
          <w:p w14:paraId="3EBEEFB5" w14:textId="1B8610C5"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Lâm Đồng</w:t>
            </w:r>
          </w:p>
        </w:tc>
        <w:tc>
          <w:tcPr>
            <w:tcW w:w="6480" w:type="dxa"/>
            <w:shd w:val="clear" w:color="auto" w:fill="auto"/>
            <w:vAlign w:val="center"/>
            <w:hideMark/>
          </w:tcPr>
          <w:p w14:paraId="3DFECADF" w14:textId="1C946BE8"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Hiện nay chế độ, chính sách hỗ trợ cho CBCCVC và NLĐ khi sắp xếp đơn vị hành chính cấp tỉnh tại các địa phương có sự chênh lệch khá lớn, tạo dư luận. Kính đề nghị Bộ Nội vụ và Bộ Tài chính có quy định chung về mức hỗ trợ để thống nhất thực hiện trên toàn quốc.</w:t>
            </w:r>
          </w:p>
        </w:tc>
        <w:tc>
          <w:tcPr>
            <w:tcW w:w="7560" w:type="dxa"/>
            <w:vAlign w:val="center"/>
          </w:tcPr>
          <w:p w14:paraId="2860BAF4" w14:textId="34B6D07F" w:rsidR="00F435AF" w:rsidRPr="00124FC1"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124FC1">
              <w:rPr>
                <w:rFonts w:ascii="Times New Roman" w:eastAsia="Times New Roman" w:hAnsi="Times New Roman" w:cs="Times New Roman"/>
                <w:color w:val="000000"/>
                <w:kern w:val="0"/>
                <w:sz w:val="20"/>
                <w:szCs w:val="20"/>
                <w14:ligatures w14:val="none"/>
              </w:rPr>
              <w:t>- Chính sách, chế độ đối với CBCCVC và NLĐ (nghỉ hưu trước tuổi, nghỉ thôi việc,…) do sắp xếp tổ chức bộ máy của hệ thống chính trị do Bộ Nội vụ chủ trì trình Chính phủ và đã được quy định thực tại Nghị định số 67/2025/NĐ-CP, Nghị định số 178/2024/NĐ-CP, Nghị định số 154/2025/NĐ-CP. Vì vậy, đề nghị Tỉnh nghiên cứu triển khai thực hiện. Trường hợp có vướng mắc, đề nghị phản ánh về Bộ Nội vụ để được xử lý.</w:t>
            </w:r>
          </w:p>
          <w:p w14:paraId="79986AB1" w14:textId="3706A4AF" w:rsidR="00F435AF" w:rsidRPr="00515B1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124FC1">
              <w:rPr>
                <w:rFonts w:ascii="Times New Roman" w:eastAsia="Times New Roman" w:hAnsi="Times New Roman" w:cs="Times New Roman"/>
                <w:color w:val="000000"/>
                <w:kern w:val="0"/>
                <w:sz w:val="20"/>
                <w:szCs w:val="20"/>
                <w14:ligatures w14:val="none"/>
              </w:rPr>
              <w:t>- Đối với các chính sách hỗ trợ về điều kiện đi lại và làm việc cho CBCCVC và NLĐ do sắp xếp đơn vị hành chính: Thuộc thẩm quyền quyết định của địa phương theo quy định tại điểm d khoản 1 Điều 16 Nghị quyết số 76/2025/UBTVQH15 ngày 14/4/2025 của UBTVQH</w:t>
            </w:r>
            <w:r>
              <w:rPr>
                <w:rFonts w:ascii="Times New Roman" w:eastAsia="Times New Roman" w:hAnsi="Times New Roman" w:cs="Times New Roman"/>
                <w:color w:val="000000"/>
                <w:kern w:val="0"/>
                <w:sz w:val="20"/>
                <w:szCs w:val="20"/>
                <w:lang w:val="vi-VN"/>
                <w14:ligatures w14:val="none"/>
              </w:rPr>
              <w:t>.</w:t>
            </w:r>
          </w:p>
        </w:tc>
      </w:tr>
      <w:tr w:rsidR="00F435AF" w:rsidRPr="00CB19B3" w14:paraId="769154A4" w14:textId="6741F2FF" w:rsidTr="00982689">
        <w:trPr>
          <w:trHeight w:val="1400"/>
        </w:trPr>
        <w:tc>
          <w:tcPr>
            <w:tcW w:w="720" w:type="dxa"/>
            <w:shd w:val="clear" w:color="auto" w:fill="auto"/>
            <w:noWrap/>
            <w:vAlign w:val="center"/>
          </w:tcPr>
          <w:p w14:paraId="116AC5E9" w14:textId="1A573E98" w:rsidR="00F435AF" w:rsidRPr="003077F6" w:rsidRDefault="00F435AF" w:rsidP="00982689">
            <w:pPr>
              <w:spacing w:after="0" w:line="240" w:lineRule="auto"/>
              <w:jc w:val="center"/>
              <w:rPr>
                <w:rFonts w:ascii="Times New Roman" w:eastAsia="Times New Roman" w:hAnsi="Times New Roman" w:cs="Times New Roman"/>
                <w:kern w:val="0"/>
                <w:sz w:val="20"/>
                <w:szCs w:val="20"/>
                <w:lang w:val="vi-VN"/>
                <w14:ligatures w14:val="none"/>
              </w:rPr>
            </w:pPr>
            <w:r w:rsidRPr="003077F6">
              <w:rPr>
                <w:rFonts w:ascii="Times New Roman" w:hAnsi="Times New Roman" w:cs="Times New Roman"/>
                <w:sz w:val="20"/>
                <w:szCs w:val="20"/>
              </w:rPr>
              <w:t>53</w:t>
            </w:r>
          </w:p>
        </w:tc>
        <w:tc>
          <w:tcPr>
            <w:tcW w:w="1350" w:type="dxa"/>
            <w:shd w:val="clear" w:color="auto" w:fill="auto"/>
            <w:noWrap/>
            <w:vAlign w:val="center"/>
            <w:hideMark/>
          </w:tcPr>
          <w:p w14:paraId="4837254E" w14:textId="259C0FC6" w:rsidR="00F435AF" w:rsidRPr="00DD7D32" w:rsidRDefault="00F435AF" w:rsidP="00F435AF">
            <w:pPr>
              <w:spacing w:after="0" w:line="240" w:lineRule="auto"/>
              <w:jc w:val="center"/>
              <w:rPr>
                <w:rFonts w:ascii="Times New Roman" w:eastAsia="Times New Roman" w:hAnsi="Times New Roman" w:cs="Times New Roman"/>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Lâm Đồng</w:t>
            </w:r>
          </w:p>
        </w:tc>
        <w:tc>
          <w:tcPr>
            <w:tcW w:w="6480" w:type="dxa"/>
            <w:shd w:val="clear" w:color="auto" w:fill="auto"/>
            <w:vAlign w:val="center"/>
            <w:hideMark/>
          </w:tcPr>
          <w:p w14:paraId="069EFAE1" w14:textId="66941A9D"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Đối với các dự án đầu tư vốn ngoài ngân sách: hiện nay, Luật Đầu tư 2020, Nghị định số 31/2021/NĐ-CP ngày 26/3/2021 và Nghị định số 115/2024/NĐ-CP ngày 16/9/2024 của Chính phủ đang trong quá trình rà soát, sửa đổi, bổ sung. Kính đề nghị Bộ Tài chính sớm ban hành các Luật, Nghị định, sửa đổi, bổ sung, các văn bản hướng dẫn triển khai thực hiện đảm bảo tính đồng bộ, thống nhất, tránh chồng chéo, mâu thuẫn về thẩm quyền giữa các cấp, các ngành; hoàn thiện cơ chế phối hợp giữa các cấp, các ngành, đảm bảo sự phối hợp chặt chẽ, hiệu quả trong giải quyết công việc cho cơ quan quản lý nhà nước và nhà đầu tư.</w:t>
            </w:r>
          </w:p>
        </w:tc>
        <w:tc>
          <w:tcPr>
            <w:tcW w:w="7560" w:type="dxa"/>
            <w:vAlign w:val="center"/>
          </w:tcPr>
          <w:p w14:paraId="681413A6" w14:textId="581928D1" w:rsidR="00F435AF" w:rsidRPr="00E55F1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DA01C9">
              <w:rPr>
                <w:rFonts w:ascii="Times New Roman" w:eastAsia="Times New Roman" w:hAnsi="Times New Roman" w:cs="Times New Roman"/>
                <w:color w:val="000000"/>
                <w:kern w:val="0"/>
                <w:sz w:val="20"/>
                <w:szCs w:val="20"/>
                <w:lang w:val="vi-VN"/>
                <w14:ligatures w14:val="none"/>
              </w:rPr>
              <w:t>Bộ Tài chính ghi nhận kiến nghị của địa phương và sẽ tổng hợp trong quá trình rà soát, hoàn thiện các quy định của Luật Đầu tư và các văn bản liên quan để sớm trình cấp có thẩm quyền xem xét, ban hành, nhằm bảo đảm tính đồng bộ, thống nhất, phù hợp với yêu cầu thực tiễn và tình hình mới.</w:t>
            </w:r>
          </w:p>
        </w:tc>
      </w:tr>
      <w:tr w:rsidR="00F435AF" w:rsidRPr="00CB19B3" w14:paraId="13BEF768" w14:textId="6542C089" w:rsidTr="00982689">
        <w:trPr>
          <w:trHeight w:val="2520"/>
        </w:trPr>
        <w:tc>
          <w:tcPr>
            <w:tcW w:w="720" w:type="dxa"/>
            <w:shd w:val="clear" w:color="auto" w:fill="auto"/>
            <w:vAlign w:val="center"/>
          </w:tcPr>
          <w:p w14:paraId="40690AAB" w14:textId="18FB89D5"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54</w:t>
            </w:r>
          </w:p>
        </w:tc>
        <w:tc>
          <w:tcPr>
            <w:tcW w:w="1350" w:type="dxa"/>
            <w:shd w:val="clear" w:color="auto" w:fill="auto"/>
            <w:vAlign w:val="center"/>
            <w:hideMark/>
          </w:tcPr>
          <w:p w14:paraId="18CB1BF6"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TP. Hồ Chí Minh</w:t>
            </w:r>
          </w:p>
        </w:tc>
        <w:tc>
          <w:tcPr>
            <w:tcW w:w="6480" w:type="dxa"/>
            <w:shd w:val="clear" w:color="auto" w:fill="auto"/>
            <w:vAlign w:val="center"/>
            <w:hideMark/>
          </w:tcPr>
          <w:p w14:paraId="42FC7E0A"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 xml:space="preserve">Bộ Tài chính kiến nghị các Bộ ngành phối hợp có các thông báo rộng rãi trên các phương tiện thông tin đại chúng về việc doanh nghiệp, nhà đầu tư không bắt buộc phải thực hiện thủ tục điều chỉnh dự án đầu tư do thay đổi địa giới hành chính khi thực hiện theo chính quyền 2 cấp (doanh nghiệp không bị xử lý vi phạm hành chính về vấn đề này) để ổn định tâm lý của doanh nghiệp, nhà đầu tư đồng thời cũng hạn chế các tình trạng lừa đảo có thể xảy ra; Ngoài ra, để đơn giản thủ tục hành chính, trong trường hợp doanh nghiệp, nhà đầu tư có nhu cầu thực hiện thủ tục điều chỉnh dự án, Sở Tài chính Thành phố Hồ Chí Minh kiến nghị Bộ Tài chính báo cáo Thủ tướng Chính phủ để có văn bản hướng dẫn thủ tục áp dụng để điều chỉnh dự án đầu tư do thay đổi địa giới hành chính khi thực hiện theo chính quyền 02 cấp là theo quy định tại khoản 1 Điều </w:t>
            </w:r>
            <w:r w:rsidRPr="00DD7D32">
              <w:rPr>
                <w:rFonts w:ascii="Times New Roman" w:eastAsia="Times New Roman" w:hAnsi="Times New Roman" w:cs="Times New Roman"/>
                <w:color w:val="000000"/>
                <w:kern w:val="0"/>
                <w:sz w:val="20"/>
                <w:szCs w:val="20"/>
                <w14:ligatures w14:val="none"/>
              </w:rPr>
              <w:lastRenderedPageBreak/>
              <w:t>47 Nghị định số 31/2021/NĐ-CP ngày 26/03/2021 của Chính phủ về quy định chi tiết và hướng dẫn thi hành một số điều của Luật Đầu tư (thay vì là khoản 2 Điều 47) để (i) tối giản thành phần hồ sơ phải nộp; (ii) rút ngắn thời giản giải quyết thủ tục cho doanh nghiệp, nhà đầu tư.</w:t>
            </w:r>
          </w:p>
        </w:tc>
        <w:tc>
          <w:tcPr>
            <w:tcW w:w="7560" w:type="dxa"/>
            <w:vAlign w:val="center"/>
          </w:tcPr>
          <w:p w14:paraId="2EB3D9B4" w14:textId="682691A8" w:rsidR="00F435AF" w:rsidRPr="00276CB0"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76CB0">
              <w:rPr>
                <w:rFonts w:ascii="Times New Roman" w:eastAsia="Times New Roman" w:hAnsi="Times New Roman" w:cs="Times New Roman"/>
                <w:color w:val="000000"/>
                <w:kern w:val="0"/>
                <w:sz w:val="20"/>
                <w:szCs w:val="20"/>
                <w14:ligatures w14:val="none"/>
              </w:rPr>
              <w:lastRenderedPageBreak/>
              <w:t>Luật Đầu tư (Điều 41) và Nghị định số 31/2021/NĐ-CP (mục 4 chương IV Nghị định số 31/2021/NĐ-CP) không quy định về việc điều chỉnh dự án đầu tư trong trường hợp thay đổi địa giới hành chính. Theo các nguyên tắc quy định tại Điều 13 Luật Đầu tư và Điều 4 Nghị định số 31/2021/NĐ-CP thì các dự án đã được cấp quyết định chủ trương đầu tư/Giấy chứng nhận đăng ký đầu tư được tiếp tục thực hiện theo các văn bản này.</w:t>
            </w:r>
          </w:p>
          <w:p w14:paraId="4CE143ED" w14:textId="56FD73D8" w:rsidR="00F435AF" w:rsidRPr="002536AA"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276CB0">
              <w:rPr>
                <w:rFonts w:ascii="Times New Roman" w:eastAsia="Times New Roman" w:hAnsi="Times New Roman" w:cs="Times New Roman"/>
                <w:color w:val="000000"/>
                <w:kern w:val="0"/>
                <w:sz w:val="20"/>
                <w:szCs w:val="20"/>
                <w14:ligatures w14:val="none"/>
              </w:rPr>
              <w:t>Để đơn giản thủ tục hành chính trong trường hợp nhà đầu tư có nhu cầu điều chỉnh dự án do thay đổi địa giới hành chính, Bộ Tài chính ghi nhận nội dung kiến nghị của địa phương và sẽ nghiên cứu trong quá trình hoàn thiện dự thảo Nghị định sửa đổi Nghị định số 31/2021/NĐ-CP (đã trình Chính phủ tại Tờ trình số 370/TTr-BTC ngày 27/6/2025).</w:t>
            </w:r>
            <w:r>
              <w:rPr>
                <w:rFonts w:ascii="Times New Roman" w:eastAsia="Times New Roman" w:hAnsi="Times New Roman" w:cs="Times New Roman"/>
                <w:color w:val="000000"/>
                <w:kern w:val="0"/>
                <w:sz w:val="20"/>
                <w:szCs w:val="20"/>
                <w14:ligatures w14:val="none"/>
              </w:rPr>
              <w:t xml:space="preserve"> </w:t>
            </w:r>
          </w:p>
        </w:tc>
      </w:tr>
      <w:tr w:rsidR="00F435AF" w:rsidRPr="00636D4C" w14:paraId="67E7CA01" w14:textId="78F7B41C" w:rsidTr="00982689">
        <w:trPr>
          <w:trHeight w:val="3080"/>
        </w:trPr>
        <w:tc>
          <w:tcPr>
            <w:tcW w:w="720" w:type="dxa"/>
            <w:shd w:val="clear" w:color="auto" w:fill="auto"/>
            <w:vAlign w:val="center"/>
          </w:tcPr>
          <w:p w14:paraId="20261C89" w14:textId="24A28167"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55</w:t>
            </w:r>
          </w:p>
        </w:tc>
        <w:tc>
          <w:tcPr>
            <w:tcW w:w="1350" w:type="dxa"/>
            <w:shd w:val="clear" w:color="auto" w:fill="auto"/>
            <w:vAlign w:val="center"/>
            <w:hideMark/>
          </w:tcPr>
          <w:p w14:paraId="71217FBF" w14:textId="14F32B19"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TP. Hồ Chí Minh</w:t>
            </w:r>
          </w:p>
        </w:tc>
        <w:tc>
          <w:tcPr>
            <w:tcW w:w="6480" w:type="dxa"/>
            <w:shd w:val="clear" w:color="auto" w:fill="auto"/>
            <w:vAlign w:val="center"/>
            <w:hideMark/>
          </w:tcPr>
          <w:p w14:paraId="027974D0"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 xml:space="preserve">Kiến nghị Bộ Tài chính ban hành hướng dẫn cụ thể: </w:t>
            </w:r>
          </w:p>
          <w:p w14:paraId="2FAD1E48"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(1) Văn bản chỉ đạo chung cho các cơ quan Tài chính, Thuế, Kho bạc Nhà nước, Hải quan tại các Tỉnh/Thành phố để các cơ quan, đơn vị có điều kiện thuận lợi phối hợp thực hiện nhiệm vụ được giao.</w:t>
            </w:r>
          </w:p>
          <w:p w14:paraId="263C6087" w14:textId="70CAD07C"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xml:space="preserve">(2) Thông tư hướng dẫn việc: </w:t>
            </w:r>
          </w:p>
          <w:p w14:paraId="75BED780"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Điều chỉnh dự toán ngân sách năm 2025 khi thực hiện chính quyền địa phương 02 cấp (trong đó, lưu ý hướng dẫn cụ thể đối với các trường hợp chi khi dự toán chưa được phê duyệt nêu trên),</w:t>
            </w:r>
          </w:p>
          <w:p w14:paraId="729F02E8" w14:textId="77777777"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Thực hiện bàn giao tài chính ngân sách giữa các cấp ngân sách khi thực hiện chính quyền địa phương 02 cấp. Trong đó, kiến nghị Bộ Tài chính hướng dẫn việc bàn giao dự toán chi ngân sách của các cơ quan, đơn vị cấp huyện đã sử dụng từ đầu năm 2025 đến thời điểm kết thúc hoạt động của cấp huyện cho cơ quan, đơn vị quản lý ngành, lĩnh vực tương ứng cấp tỉnh tiếp nhận để theo dõi, quyết toán khi hết niên độ ngân sách 2025.</w:t>
            </w:r>
          </w:p>
          <w:p w14:paraId="2D2EA345" w14:textId="7ACBAC54"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Điều hành dự toán ngân sách năm 2025 khi thực hiện chính quyền địa phương 02 cấp;</w:t>
            </w:r>
          </w:p>
        </w:tc>
        <w:tc>
          <w:tcPr>
            <w:tcW w:w="7560" w:type="dxa"/>
            <w:vAlign w:val="center"/>
          </w:tcPr>
          <w:p w14:paraId="1B40AB8D" w14:textId="68DDA85D"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 xml:space="preserve">Bộ Tài chính đã có công văn số 4205/BTC-NSNN ngày 02/4/2025 và số 8911/BTC-NSNN ngày 20/6/2025 hướng dẫn nguyên tắc </w:t>
            </w:r>
            <w:r w:rsidRPr="002048D9">
              <w:rPr>
                <w:rFonts w:ascii="Times New Roman" w:eastAsia="Times New Roman" w:hAnsi="Times New Roman" w:cs="Times New Roman"/>
                <w:color w:val="000000"/>
                <w:kern w:val="0"/>
                <w:sz w:val="20"/>
                <w:szCs w:val="20"/>
                <w:lang w:val="vi-VN"/>
                <w14:ligatures w14:val="none"/>
              </w:rPr>
              <w:t>xử lý tài chính, ngân sách nhà nước khi tổ chức lại đơn vị hành chính các cấp và xây dựng mô hình tổ chức chính quyền địa phương 02 cấp. Đề nghị Thành phố nghiên cứu thực hiện</w:t>
            </w:r>
            <w:r>
              <w:rPr>
                <w:rFonts w:ascii="Times New Roman" w:eastAsia="Times New Roman" w:hAnsi="Times New Roman" w:cs="Times New Roman"/>
                <w:color w:val="000000"/>
                <w:kern w:val="0"/>
                <w:sz w:val="20"/>
                <w:szCs w:val="20"/>
                <w:lang w:val="vi-VN"/>
                <w14:ligatures w14:val="none"/>
              </w:rPr>
              <w:t>.</w:t>
            </w:r>
          </w:p>
          <w:p w14:paraId="4569E363" w14:textId="0E186039"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 xml:space="preserve">Về đề nghị hướng dẫn cụ thể văn bản chỉ đạo cho các cơ quan Thuế, Kho bạc Nhà nước, Hải quan: </w:t>
            </w:r>
          </w:p>
          <w:p w14:paraId="634F3775" w14:textId="26F6A15D" w:rsidR="00F435AF" w:rsidRPr="002048D9"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 xml:space="preserve">- </w:t>
            </w:r>
            <w:r w:rsidRPr="002048D9">
              <w:rPr>
                <w:rFonts w:ascii="Times New Roman" w:eastAsia="Times New Roman" w:hAnsi="Times New Roman" w:cs="Times New Roman"/>
                <w:color w:val="000000"/>
                <w:kern w:val="0"/>
                <w:sz w:val="20"/>
                <w:szCs w:val="20"/>
                <w:lang w:val="vi-VN"/>
                <w14:ligatures w14:val="none"/>
              </w:rPr>
              <w:t>Theo báo cáo của KBNN Khu vực 2 thì nội dung này không còn vướng mắc khi có Công văn số 8614/BTC-KTĐP ngày 18/6/2025 về giải quyết các khó khăn, vướng mắc, kiến nghị của địa phương về việc thực hiện phân cấp, phân quyền, phân định thẩm quyền khi sắp xếp đơn vị hành chính và tổ chức mô hình chính quyền địa phương 02 cấp; Công văn số 8911/BTC-NSNN ngày 20/6/2025 về hướng dẫn nguyên tắc xử lý tài chính, ngân sách nhà nước khi tổ chức lại đơn vị hành chính các cấp và xây dựng mô hình tổ chức chính quyền địa phương 2 cấp.</w:t>
            </w:r>
          </w:p>
          <w:p w14:paraId="710F777D" w14:textId="62BE19AB" w:rsidR="00F435AF" w:rsidRPr="002048D9"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 xml:space="preserve">- </w:t>
            </w:r>
            <w:r w:rsidRPr="002048D9">
              <w:rPr>
                <w:rFonts w:ascii="Times New Roman" w:eastAsia="Times New Roman" w:hAnsi="Times New Roman" w:cs="Times New Roman"/>
                <w:color w:val="000000"/>
                <w:kern w:val="0"/>
                <w:sz w:val="20"/>
                <w:szCs w:val="20"/>
                <w:lang w:val="vi-VN"/>
                <w14:ligatures w14:val="none"/>
              </w:rPr>
              <w:t xml:space="preserve">Cục Hải quan đã chỉ đạo các đơn vị tập trung triển khai Quyết định số 2019/QĐ-BTC ngày 11/6/2025 của Bộ Tài chính để ổn định tổ chức đi vào hoạt động từ ngày 01/7/2025 cùng với chính quyền địa phương 02 cấp, cụ thể: </w:t>
            </w:r>
          </w:p>
          <w:p w14:paraId="25752AE3" w14:textId="4A7F30AC" w:rsidR="00F435AF" w:rsidRPr="002048D9"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 xml:space="preserve">+ </w:t>
            </w:r>
            <w:r w:rsidRPr="002048D9">
              <w:rPr>
                <w:rFonts w:ascii="Times New Roman" w:eastAsia="Times New Roman" w:hAnsi="Times New Roman" w:cs="Times New Roman"/>
                <w:color w:val="000000"/>
                <w:kern w:val="0"/>
                <w:sz w:val="20"/>
                <w:szCs w:val="20"/>
                <w:lang w:val="vi-VN"/>
                <w14:ligatures w14:val="none"/>
              </w:rPr>
              <w:t>Ban hành Công văn số 11835/CHQ-TCCB ngày 30/6/2025 về việc triển khai Quyết định quy định chức năng, nhiệm vụ, quyền hạn và cơ cấu tổ chức của</w:t>
            </w:r>
            <w:r>
              <w:rPr>
                <w:rFonts w:ascii="Times New Roman" w:eastAsia="Times New Roman" w:hAnsi="Times New Roman" w:cs="Times New Roman"/>
                <w:color w:val="000000"/>
                <w:kern w:val="0"/>
                <w:sz w:val="20"/>
                <w:szCs w:val="20"/>
                <w:lang w:val="vi-VN"/>
                <w14:ligatures w14:val="none"/>
              </w:rPr>
              <w:t xml:space="preserve"> </w:t>
            </w:r>
            <w:r w:rsidRPr="002048D9">
              <w:rPr>
                <w:rFonts w:ascii="Times New Roman" w:eastAsia="Times New Roman" w:hAnsi="Times New Roman" w:cs="Times New Roman"/>
                <w:color w:val="000000"/>
                <w:kern w:val="0"/>
                <w:sz w:val="20"/>
                <w:szCs w:val="20"/>
                <w:lang w:val="vi-VN"/>
                <w14:ligatures w14:val="none"/>
              </w:rPr>
              <w:t>các đơn vị thuộc Cục Hải quan, theo đó, chỉ đạo các Chi cục trưởng Chi cục Hải quan khu vực tổ chức triển khai thực hiện việc tiếp nhận nhiệm vụ, quyền hạn, nghĩa vụ, trách nhiệm, trụ sở và địa bàn quản lý của Hải quan cửa khẩu/ngoài cửa khẩu theo quy định, đảm bảo không để ngắt quãng công việc, không để bỏ trống địa bàn, lĩnh vực, không để ảnh hưởng đến việc giải quyết thủ tục hải quan, thông quan hàng hóa xuất khẩu, nhập khẩu.</w:t>
            </w:r>
          </w:p>
          <w:p w14:paraId="1AFB0508" w14:textId="10817B71" w:rsidR="00F435AF" w:rsidRPr="002048D9"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lastRenderedPageBreak/>
              <w:t xml:space="preserve">+ </w:t>
            </w:r>
            <w:r w:rsidRPr="002048D9">
              <w:rPr>
                <w:rFonts w:ascii="Times New Roman" w:eastAsia="Times New Roman" w:hAnsi="Times New Roman" w:cs="Times New Roman"/>
                <w:color w:val="000000"/>
                <w:kern w:val="0"/>
                <w:sz w:val="20"/>
                <w:szCs w:val="20"/>
                <w:lang w:val="vi-VN"/>
                <w14:ligatures w14:val="none"/>
              </w:rPr>
              <w:t>Chủ động chuẩn bị và chuyển đổi hệ thống công nghệ thông tin nhằm đáp ứng yêu cầu của mô hình tổ chức chính quyền địa phương mới từ ngày 01/7/2025. Bố trí lực lượng hỗ trợ nghiệp vụ, kỹ thuật được tăng cường tại tất cả các cấp để sẵn sàng xử lý kịp thời mọi phát sinh, đảm bảo hoạt động xuất nhập khẩu của doanh nghiệp không bị gián đoạn.</w:t>
            </w:r>
          </w:p>
          <w:p w14:paraId="51C58E48" w14:textId="57253ACD" w:rsidR="00F435AF" w:rsidRPr="00EF276A"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Pr>
                <w:rFonts w:ascii="Times New Roman" w:eastAsia="Times New Roman" w:hAnsi="Times New Roman" w:cs="Times New Roman"/>
                <w:color w:val="000000"/>
                <w:kern w:val="0"/>
                <w:sz w:val="20"/>
                <w:szCs w:val="20"/>
                <w:lang w:val="vi-VN"/>
                <w14:ligatures w14:val="none"/>
              </w:rPr>
              <w:t>+</w:t>
            </w:r>
            <w:r w:rsidRPr="002048D9">
              <w:rPr>
                <w:rFonts w:ascii="Times New Roman" w:eastAsia="Times New Roman" w:hAnsi="Times New Roman" w:cs="Times New Roman"/>
                <w:color w:val="000000"/>
                <w:kern w:val="0"/>
                <w:sz w:val="20"/>
                <w:szCs w:val="20"/>
                <w:lang w:val="vi-VN"/>
                <w14:ligatures w14:val="none"/>
              </w:rPr>
              <w:t xml:space="preserve"> Ban hành Công văn số 12252/CHQ-GSQL ngày 03/7/2025 hướng dẫn các đơn vị thuộc Cục Hải quan về thủ tục hải quan khi thay đổi địa chỉ theo phương án sắp xếp các đơn vị hành chính.</w:t>
            </w:r>
          </w:p>
        </w:tc>
      </w:tr>
      <w:tr w:rsidR="00F435AF" w:rsidRPr="00636D4C" w14:paraId="62CF2317" w14:textId="22F04097" w:rsidTr="00982689">
        <w:trPr>
          <w:trHeight w:val="1680"/>
        </w:trPr>
        <w:tc>
          <w:tcPr>
            <w:tcW w:w="720" w:type="dxa"/>
            <w:shd w:val="clear" w:color="auto" w:fill="auto"/>
            <w:vAlign w:val="center"/>
          </w:tcPr>
          <w:p w14:paraId="423D75AF" w14:textId="1F5E6DD0"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56</w:t>
            </w:r>
          </w:p>
        </w:tc>
        <w:tc>
          <w:tcPr>
            <w:tcW w:w="1350" w:type="dxa"/>
            <w:shd w:val="clear" w:color="auto" w:fill="auto"/>
            <w:vAlign w:val="center"/>
            <w:hideMark/>
          </w:tcPr>
          <w:p w14:paraId="4AD894F0" w14:textId="5D20885E"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TP. Hồ Chí Minh</w:t>
            </w:r>
          </w:p>
        </w:tc>
        <w:tc>
          <w:tcPr>
            <w:tcW w:w="6480" w:type="dxa"/>
            <w:shd w:val="clear" w:color="auto" w:fill="auto"/>
            <w:vAlign w:val="center"/>
            <w:hideMark/>
          </w:tcPr>
          <w:p w14:paraId="2CBBCE50" w14:textId="77777777" w:rsidR="00F435AF"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Do áp lực rất lớn về mặt thời gian trong việc tham mưu trình cấp có thẩm quyền giao dự toán cho chính quyền cấp xã mới, kiến nghị Bộ Tài chính hướng dẫn việc giao dự toán bổ sung cho chính quyền cấp xã sau sắp xếp, cụ thể:</w:t>
            </w:r>
          </w:p>
          <w:p w14:paraId="786DCD28" w14:textId="03A003BB" w:rsidR="00F435AF" w:rsidRPr="00CB19B3"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xml:space="preserve">+ Cho phép bổ sung cân đối với những nội dung chi đảm bảo hoạt động thường xuyên như: tăng lương do tăng biên chế, tăng chi thường xuyên do tăng định mức khoán kinh phí hoạt động. </w:t>
            </w:r>
          </w:p>
          <w:p w14:paraId="71D69746" w14:textId="132B1FC0"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EF276A">
              <w:rPr>
                <w:rFonts w:ascii="Times New Roman" w:eastAsia="Times New Roman" w:hAnsi="Times New Roman" w:cs="Times New Roman"/>
                <w:color w:val="000000"/>
                <w:kern w:val="0"/>
                <w:sz w:val="20"/>
                <w:szCs w:val="20"/>
                <w:lang w:val="vi-VN"/>
                <w14:ligatures w14:val="none"/>
              </w:rPr>
              <w:t>+ Cho phép bổ sung có mục tiêu đối với những nhiệm vụ chi dự kiến phát sinh sau sắp xếp do được phân cấp, ủy quyền từ cấp có thẩm quyền</w:t>
            </w:r>
          </w:p>
        </w:tc>
        <w:tc>
          <w:tcPr>
            <w:tcW w:w="7560" w:type="dxa"/>
            <w:vAlign w:val="center"/>
          </w:tcPr>
          <w:p w14:paraId="75EAB1ED" w14:textId="32DDFE5E" w:rsidR="00F435AF" w:rsidRPr="00EF276A"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DB777E">
              <w:rPr>
                <w:rFonts w:ascii="Times New Roman" w:eastAsia="Times New Roman" w:hAnsi="Times New Roman" w:cs="Times New Roman"/>
                <w:color w:val="000000"/>
                <w:kern w:val="0"/>
                <w:sz w:val="20"/>
                <w:szCs w:val="20"/>
                <w:lang w:val="vi-VN"/>
                <w14:ligatures w14:val="none"/>
              </w:rPr>
              <w:t>Luật NSNN năm 2025 đã quy định các trường hợp được tạm cấp ngân sách. Vì vậy, đề nghị Thành phố nghiên cứu thực hiện.</w:t>
            </w:r>
          </w:p>
        </w:tc>
      </w:tr>
      <w:tr w:rsidR="00F435AF" w:rsidRPr="00CB19B3" w14:paraId="56DDD3AC" w14:textId="47B8BF78" w:rsidTr="00982689">
        <w:trPr>
          <w:trHeight w:val="840"/>
        </w:trPr>
        <w:tc>
          <w:tcPr>
            <w:tcW w:w="720" w:type="dxa"/>
            <w:shd w:val="clear" w:color="auto" w:fill="auto"/>
            <w:vAlign w:val="center"/>
          </w:tcPr>
          <w:p w14:paraId="3F8202D2" w14:textId="27C068CA"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57</w:t>
            </w:r>
          </w:p>
        </w:tc>
        <w:tc>
          <w:tcPr>
            <w:tcW w:w="1350" w:type="dxa"/>
            <w:shd w:val="clear" w:color="auto" w:fill="auto"/>
            <w:vAlign w:val="center"/>
            <w:hideMark/>
          </w:tcPr>
          <w:p w14:paraId="79B3077B" w14:textId="3A0BF336"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TP. Hồ Chí Minh</w:t>
            </w:r>
          </w:p>
        </w:tc>
        <w:tc>
          <w:tcPr>
            <w:tcW w:w="6480" w:type="dxa"/>
            <w:shd w:val="clear" w:color="auto" w:fill="auto"/>
            <w:vAlign w:val="center"/>
            <w:hideMark/>
          </w:tcPr>
          <w:p w14:paraId="6432E7AD" w14:textId="7E8806BA"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Kiến nghị Bộ Tài chính thống nhất hoặc trình Chính phủ thống nhất (nếu vượt thẩm quyền của Bộ Tài chính) Ủy ban nhân dân cấp xã làm chủ tài khoản quản lý số tiền thu được từ xử lý tài sản công do cơ quan, người có thẩm quyền thuộc cấp xã quyết định xử lý.</w:t>
            </w:r>
          </w:p>
        </w:tc>
        <w:tc>
          <w:tcPr>
            <w:tcW w:w="7560" w:type="dxa"/>
            <w:vAlign w:val="center"/>
          </w:tcPr>
          <w:p w14:paraId="15962780" w14:textId="7DFBEFEC" w:rsidR="00F435AF"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521E14">
              <w:rPr>
                <w:rFonts w:ascii="Times New Roman" w:eastAsia="Times New Roman" w:hAnsi="Times New Roman" w:cs="Times New Roman"/>
                <w:color w:val="000000"/>
                <w:kern w:val="0"/>
                <w:sz w:val="20"/>
                <w:szCs w:val="20"/>
                <w14:ligatures w14:val="none"/>
              </w:rPr>
              <w:t>Để đơn giản hóa, cắt giảm thủ tục hành chính trong lĩnh vực quản lý, sử dụng tài sản công, tại khoản 1 Điều 48 Luật Quản lý, sử dụng tài sản công năm 2017 (được sửa đổi, bổ sung tại khoản 4 Điều 8 Luật số 90/2025/QH15 ngày 25/6/2025) quy định: “Số tiền thu được từ xử lý tài sản công tại cơ quan nhà nước do cơ quan được giao nhiệm vụ xử lý tài sản quản lý, sau khi trừ đi chi phí có liên quan đến xử lý tài sản, phần còn lại cơ quan được giao nhiệm vụ xử lý tài sản thực hiện nộp toàn bộ vào ngân sách nhà nước.”</w:t>
            </w:r>
            <w:r>
              <w:rPr>
                <w:rFonts w:ascii="Times New Roman" w:eastAsia="Times New Roman" w:hAnsi="Times New Roman" w:cs="Times New Roman"/>
                <w:color w:val="000000"/>
                <w:kern w:val="0"/>
                <w:sz w:val="20"/>
                <w:szCs w:val="20"/>
                <w14:ligatures w14:val="none"/>
              </w:rPr>
              <w:t xml:space="preserve"> </w:t>
            </w:r>
            <w:r w:rsidRPr="00521E14">
              <w:rPr>
                <w:rFonts w:ascii="Times New Roman" w:eastAsia="Times New Roman" w:hAnsi="Times New Roman" w:cs="Times New Roman"/>
                <w:color w:val="000000"/>
                <w:kern w:val="0"/>
                <w:sz w:val="20"/>
                <w:szCs w:val="20"/>
                <w14:ligatures w14:val="none"/>
              </w:rPr>
              <w:t>Như vậy là kể từ ngày 01/7/2025 thì không còn tài khoản tạm giữ. Số tiền thu được từ xử lý tài sản công tại cơ quan, tổ chức, đơn vị sau khi trừ đi chi phí có liên quan đến xử lý tài sản công thì phần còn lại được nộp toàn bộ vào NSNN.</w:t>
            </w:r>
          </w:p>
        </w:tc>
      </w:tr>
      <w:tr w:rsidR="00F435AF" w:rsidRPr="00CB19B3" w14:paraId="59DA95B6" w14:textId="3C762939" w:rsidTr="00982689">
        <w:trPr>
          <w:trHeight w:val="560"/>
        </w:trPr>
        <w:tc>
          <w:tcPr>
            <w:tcW w:w="720" w:type="dxa"/>
            <w:shd w:val="clear" w:color="auto" w:fill="auto"/>
            <w:vAlign w:val="center"/>
          </w:tcPr>
          <w:p w14:paraId="170E53C4" w14:textId="38A9A49B"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58</w:t>
            </w:r>
          </w:p>
        </w:tc>
        <w:tc>
          <w:tcPr>
            <w:tcW w:w="1350" w:type="dxa"/>
            <w:shd w:val="clear" w:color="auto" w:fill="auto"/>
            <w:vAlign w:val="center"/>
            <w:hideMark/>
          </w:tcPr>
          <w:p w14:paraId="1BB0375C" w14:textId="6956500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TP. Hồ Chí Minh</w:t>
            </w:r>
          </w:p>
        </w:tc>
        <w:tc>
          <w:tcPr>
            <w:tcW w:w="6480" w:type="dxa"/>
            <w:shd w:val="clear" w:color="auto" w:fill="auto"/>
            <w:vAlign w:val="center"/>
            <w:hideMark/>
          </w:tcPr>
          <w:p w14:paraId="52487DE4" w14:textId="4376F8F1"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Kiến nghị Bộ Tài chính sớm xem xét, có ý kiến chấp thuận số 70% tăng thu ngân sách địa phương giai đoạn 2019 – 2024 để thực hiện cải cách tiền lương từ năm 2020 đến năm 2025 còn phải bổ sung của Thành phố là 20.569.523 triệu đồng.</w:t>
            </w:r>
          </w:p>
        </w:tc>
        <w:tc>
          <w:tcPr>
            <w:tcW w:w="7560" w:type="dxa"/>
            <w:vAlign w:val="center"/>
          </w:tcPr>
          <w:p w14:paraId="1C1853BD" w14:textId="47735C77" w:rsidR="00F435AF"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7F3239">
              <w:rPr>
                <w:rFonts w:ascii="Times New Roman" w:eastAsia="Times New Roman" w:hAnsi="Times New Roman" w:cs="Times New Roman"/>
                <w:color w:val="000000"/>
                <w:kern w:val="0"/>
                <w:sz w:val="20"/>
                <w:szCs w:val="20"/>
                <w14:ligatures w14:val="none"/>
              </w:rPr>
              <w:t xml:space="preserve">Bộ Tài chính đã nhận </w:t>
            </w:r>
            <w:r>
              <w:rPr>
                <w:rFonts w:ascii="Times New Roman" w:eastAsia="Times New Roman" w:hAnsi="Times New Roman" w:cs="Times New Roman"/>
                <w:color w:val="000000"/>
                <w:kern w:val="0"/>
                <w:sz w:val="20"/>
                <w:szCs w:val="20"/>
                <w:lang w:val="vi-VN"/>
                <w14:ligatures w14:val="none"/>
              </w:rPr>
              <w:t>v</w:t>
            </w:r>
            <w:r w:rsidRPr="007F3239">
              <w:rPr>
                <w:rFonts w:ascii="Times New Roman" w:eastAsia="Times New Roman" w:hAnsi="Times New Roman" w:cs="Times New Roman"/>
                <w:color w:val="000000"/>
                <w:kern w:val="0"/>
                <w:sz w:val="20"/>
                <w:szCs w:val="20"/>
                <w14:ligatures w14:val="none"/>
              </w:rPr>
              <w:t xml:space="preserve">ăn bản số 3360/UBND-KT ngày 13/5/2025 của UBND TP.HCM về báo cáo rà soát số tăng thực NSĐP để thực hiện cải cách tiền lương Sở Tài chính báo cáo nhu cầu, nguồn kinh phí thực hiện CCTL từ năm 2019 đến năm 2024 , trong đó Thành phố đề nghị loại trừ một số khoản thu, chi chưa có căn cứ pháp lý như: Nguồn thu 70% tăng thu năm 2019- 2022 chưa làm thủ tục chuyển nguồn CCTL, thu bổ sung dự toán tăng thu năm </w:t>
            </w:r>
            <w:r w:rsidRPr="007F3239">
              <w:rPr>
                <w:rFonts w:ascii="Times New Roman" w:eastAsia="Times New Roman" w:hAnsi="Times New Roman" w:cs="Times New Roman"/>
                <w:color w:val="000000"/>
                <w:kern w:val="0"/>
                <w:sz w:val="20"/>
                <w:szCs w:val="20"/>
                <w14:ligatures w14:val="none"/>
              </w:rPr>
              <w:lastRenderedPageBreak/>
              <w:t>2021, Chi phòng, chống dịch Covid-19, trả nợ gốc,.. đề nghị Thành phố thuyết minh, cung cấp hồ sơ tài liệu liên quan. Trên có sở đó, Bộ Tài chính sẽ xem xét, xử lý theo đúng quy định của pháp luật.</w:t>
            </w:r>
          </w:p>
        </w:tc>
      </w:tr>
      <w:tr w:rsidR="00F435AF" w:rsidRPr="00636D4C" w14:paraId="476734C8" w14:textId="4B0AA6FC" w:rsidTr="00982689">
        <w:trPr>
          <w:trHeight w:val="840"/>
        </w:trPr>
        <w:tc>
          <w:tcPr>
            <w:tcW w:w="720" w:type="dxa"/>
            <w:shd w:val="clear" w:color="auto" w:fill="auto"/>
            <w:vAlign w:val="center"/>
          </w:tcPr>
          <w:p w14:paraId="78C60BE5" w14:textId="6AF279E3"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59</w:t>
            </w:r>
          </w:p>
        </w:tc>
        <w:tc>
          <w:tcPr>
            <w:tcW w:w="1350" w:type="dxa"/>
            <w:shd w:val="clear" w:color="auto" w:fill="auto"/>
            <w:vAlign w:val="center"/>
            <w:hideMark/>
          </w:tcPr>
          <w:p w14:paraId="60C35603" w14:textId="05113A2E"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TP. Hồ Chí Minh</w:t>
            </w:r>
          </w:p>
        </w:tc>
        <w:tc>
          <w:tcPr>
            <w:tcW w:w="6480" w:type="dxa"/>
            <w:shd w:val="clear" w:color="auto" w:fill="auto"/>
            <w:vAlign w:val="center"/>
            <w:hideMark/>
          </w:tcPr>
          <w:p w14:paraId="40C79AAA" w14:textId="46391AA1"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Kiến nghị Bộ Tài chính chỉ đạo cơ quan Kho bạc nhà nước chủ động tham mưu, phối hợp Cục Thống kê để kịp thời hướng dẫn, đồng bộ số liệu, cấp user mới, mã kho bạc,... để các địa phương thực hiện.</w:t>
            </w:r>
          </w:p>
        </w:tc>
        <w:tc>
          <w:tcPr>
            <w:tcW w:w="7560" w:type="dxa"/>
            <w:vAlign w:val="center"/>
          </w:tcPr>
          <w:p w14:paraId="72B4F80C" w14:textId="7A44DE8E"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 xml:space="preserve">Hiện nay, KBNN đã lấy từ danh mục dùng chung của Bộ tài chính và thực hiện đồng bộ cho các chương trình ứng dụng; đồng thời, trong </w:t>
            </w:r>
            <w:r>
              <w:rPr>
                <w:rFonts w:ascii="Times New Roman" w:eastAsia="Times New Roman" w:hAnsi="Times New Roman" w:cs="Times New Roman"/>
                <w:color w:val="000000"/>
                <w:kern w:val="0"/>
                <w:sz w:val="20"/>
                <w:szCs w:val="20"/>
                <w:lang w:val="vi-VN"/>
                <w14:ligatures w14:val="none"/>
              </w:rPr>
              <w:t>c</w:t>
            </w:r>
            <w:r w:rsidRPr="00636D4C">
              <w:rPr>
                <w:rFonts w:ascii="Times New Roman" w:eastAsia="Times New Roman" w:hAnsi="Times New Roman" w:cs="Times New Roman"/>
                <w:color w:val="000000"/>
                <w:kern w:val="0"/>
                <w:sz w:val="20"/>
                <w:szCs w:val="20"/>
                <w:lang w:val="vi-VN"/>
                <w14:ligatures w14:val="none"/>
              </w:rPr>
              <w:t>ông văn số 8252/KBNN-CSPC ngày 27/6/2025 của KBNN hướng dẫn nghiệp vụ sắp xếp các KBNN khu vực theo Quyết định số 2020/QĐ-BTC đã hướng dẫn; Công văn số 5569/KBNN-CSPC của KBNN về việc hướng dẫn KBNN khu vực nguyên tắc bàn giao tài liệu, số liệu, chuyển đổi dữ liệu, quy trình nghiệp vụ đối với sắp xếp, tổ chức lại đơn vị hành chính cấp xã, giải thể đơn vị hành chính cấp huyện; Công văn số 8241/KBNN-CSPC của KBNN về việc hướng dẫn KBNN khu vực nguyên tắc bàn giao tài liệu, số liệu, chuyển đổi dữ liệu, quy trình nghiệp vụ đối với sắp xếp, tổ chức lại đơn vị hành chính cấp tỉnh cũng đã có hướng dẫn về việc cấp mã kho bạc, user... Đề nghị Sở Tài chính Thành phố Hồ Chí Minh phối hợp với KBNN Khu vực 2 để thực hiện.</w:t>
            </w:r>
          </w:p>
        </w:tc>
      </w:tr>
      <w:tr w:rsidR="00F435AF" w:rsidRPr="00636D4C" w14:paraId="6609DEC7" w14:textId="239CD0C8" w:rsidTr="00982689">
        <w:trPr>
          <w:trHeight w:val="1120"/>
        </w:trPr>
        <w:tc>
          <w:tcPr>
            <w:tcW w:w="720" w:type="dxa"/>
            <w:shd w:val="clear" w:color="auto" w:fill="auto"/>
            <w:vAlign w:val="center"/>
          </w:tcPr>
          <w:p w14:paraId="5D60ACD4" w14:textId="34F6CFFF"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60</w:t>
            </w:r>
          </w:p>
        </w:tc>
        <w:tc>
          <w:tcPr>
            <w:tcW w:w="1350" w:type="dxa"/>
            <w:shd w:val="clear" w:color="auto" w:fill="auto"/>
            <w:vAlign w:val="center"/>
            <w:hideMark/>
          </w:tcPr>
          <w:p w14:paraId="60D3287D" w14:textId="3605071A"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TP. Hồ Chí Minh</w:t>
            </w:r>
          </w:p>
        </w:tc>
        <w:tc>
          <w:tcPr>
            <w:tcW w:w="6480" w:type="dxa"/>
            <w:shd w:val="clear" w:color="auto" w:fill="auto"/>
            <w:vAlign w:val="center"/>
            <w:hideMark/>
          </w:tcPr>
          <w:p w14:paraId="1FC53DB2"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Bộ Tài chính xem xét nâng cấp tích hợp những thông tin, nội dung, số liệu cần thiết phải báo cáo từ dịch vụ công để kết xuất thành các báo cáo phục vụ quản lý do số liệu địa phương báo cáo phải khớp đúng với số liệu thanh toán qua Kho bạc nhà nước trong khi Sở Tài chính chỉ thực hiện nhập dự toán trên hệ thống tabmis, còn các số liệu, thông tin, chỉ tiêu thực hiện phải đều thể hiện trên chứng từ thanh toán của các đơn vị gửi qua KBNN</w:t>
            </w:r>
          </w:p>
        </w:tc>
        <w:tc>
          <w:tcPr>
            <w:tcW w:w="7560" w:type="dxa"/>
            <w:vAlign w:val="center"/>
          </w:tcPr>
          <w:p w14:paraId="52025C33" w14:textId="07775866"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Kho</w:t>
            </w:r>
            <w:r>
              <w:rPr>
                <w:rFonts w:ascii="Times New Roman" w:eastAsia="Times New Roman" w:hAnsi="Times New Roman" w:cs="Times New Roman"/>
                <w:color w:val="000000"/>
                <w:kern w:val="0"/>
                <w:sz w:val="20"/>
                <w:szCs w:val="20"/>
                <w:lang w:val="vi-VN"/>
                <w14:ligatures w14:val="none"/>
              </w:rPr>
              <w:t xml:space="preserve"> bạc nhà nước</w:t>
            </w:r>
            <w:r w:rsidRPr="00636D4C">
              <w:rPr>
                <w:rFonts w:ascii="Times New Roman" w:eastAsia="Times New Roman" w:hAnsi="Times New Roman" w:cs="Times New Roman"/>
                <w:color w:val="000000"/>
                <w:kern w:val="0"/>
                <w:sz w:val="20"/>
                <w:szCs w:val="20"/>
                <w:lang w:val="vi-VN"/>
                <w14:ligatures w14:val="none"/>
              </w:rPr>
              <w:t xml:space="preserve"> sẽ trao đổi cụ thể yêu cầu của Sở Tài chính Thành phố Hồ Chí Minh để hướng dẫn cách thức tra cứu, chạy báo cáo tình hình số liệu thanh toán qua KBNN trên hệ thống TABMIS.</w:t>
            </w:r>
          </w:p>
        </w:tc>
      </w:tr>
      <w:tr w:rsidR="00F435AF" w:rsidRPr="00636D4C" w14:paraId="1EA5CF5D" w14:textId="3F97FEAC" w:rsidTr="00982689">
        <w:trPr>
          <w:trHeight w:val="1960"/>
        </w:trPr>
        <w:tc>
          <w:tcPr>
            <w:tcW w:w="720" w:type="dxa"/>
            <w:shd w:val="clear" w:color="auto" w:fill="auto"/>
            <w:vAlign w:val="center"/>
          </w:tcPr>
          <w:p w14:paraId="23B475A6" w14:textId="4AD05D39"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61</w:t>
            </w:r>
          </w:p>
        </w:tc>
        <w:tc>
          <w:tcPr>
            <w:tcW w:w="1350" w:type="dxa"/>
            <w:shd w:val="clear" w:color="auto" w:fill="auto"/>
            <w:vAlign w:val="center"/>
            <w:hideMark/>
          </w:tcPr>
          <w:p w14:paraId="5D1236B9" w14:textId="3CCC35C1"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TP. Hồ Chí Minh</w:t>
            </w:r>
          </w:p>
        </w:tc>
        <w:tc>
          <w:tcPr>
            <w:tcW w:w="6480" w:type="dxa"/>
            <w:shd w:val="clear" w:color="auto" w:fill="auto"/>
            <w:vAlign w:val="center"/>
            <w:hideMark/>
          </w:tcPr>
          <w:p w14:paraId="1ECA33BF" w14:textId="5D9315D6" w:rsidR="00F435AF" w:rsidRPr="00EF276A"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Kiến nghị Bộ Tài chính có hướng dẫn cụ thể về</w:t>
            </w:r>
            <w:r>
              <w:rPr>
                <w:rFonts w:ascii="Times New Roman" w:eastAsia="Times New Roman" w:hAnsi="Times New Roman" w:cs="Times New Roman"/>
                <w:color w:val="000000"/>
                <w:kern w:val="0"/>
                <w:sz w:val="20"/>
                <w:szCs w:val="20"/>
                <w:lang w:val="vi-VN"/>
                <w14:ligatures w14:val="none"/>
              </w:rPr>
              <w:t xml:space="preserve"> v</w:t>
            </w:r>
            <w:r w:rsidRPr="00EF276A">
              <w:rPr>
                <w:rFonts w:ascii="Times New Roman" w:eastAsia="Times New Roman" w:hAnsi="Times New Roman" w:cs="Times New Roman"/>
                <w:color w:val="000000"/>
                <w:kern w:val="0"/>
                <w:sz w:val="20"/>
                <w:szCs w:val="20"/>
                <w:lang w:val="vi-VN"/>
                <w14:ligatures w14:val="none"/>
              </w:rPr>
              <w:t>iệc quy định về phân công và chuyển giao trách nhiệm khi có sự thay đổi mô hình tổ chức đơn vị do sắp xếp, tổ chức lại ĐVHC các cấp và xây dựng mô hình tổ chức CQĐP 02 cấp để công tác quản lý, kiểm tra, giám sát hoạt động đấu thầu được đảm bảo thực hiện theo đúng quy định.</w:t>
            </w:r>
          </w:p>
        </w:tc>
        <w:tc>
          <w:tcPr>
            <w:tcW w:w="7560" w:type="dxa"/>
            <w:vAlign w:val="center"/>
          </w:tcPr>
          <w:p w14:paraId="225582B1" w14:textId="77777777" w:rsidR="00F435AF" w:rsidRPr="004D333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Theo quy định tại khoản 3 Điều 86 Luật Đấu thầu (được sửa đổi, bổ sung tại Luật số 90/2025/QH15, có hiệu lực từ 01/7/2025), cơ quan quản lý nhà nước về đấu thầu thuộc Bộ, ngành, địa phương thực hiện việc giám sát thường xuyên hoạt động đấu thầu đối với các gói thầu thuộc dự án, dự toán mua sắm trên địa bàn, lĩnh vực quản lý, các hoạt động quy định tại điểm d khoản 7 Điều 3 của Luật này; Người có thẩm quyền thực hiện việc giám sát hoạt động đấu thầu đối với các dự án, dự toán mua sắm thuộc phạm vi quản lý.</w:t>
            </w:r>
          </w:p>
          <w:p w14:paraId="458373DA" w14:textId="77777777" w:rsidR="00F435AF" w:rsidRPr="004D333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Theo quy định tại khoản 3 Điều 114 Nghị định số 24/2024/NĐ-CP ngày 27/02/2024 của Chính phủ quy định chi tiết một số điều và biện pháp thi hành Luật Đấu thầu về lựa chọn nhà thầu, UBND cấp tỉnh có trách nhiệm chủ trì tổ chức kiểm tra hoạt động đấu thầu của các đơn vị thuộc phạm vi quản lý và các dự án do Chủ tịch UBND cấp tỉnh quyết định đầu tư; Sở Kế hoạch và Đầu tư (nay là Sở Tài chính) giúp Ủy ban nhân dân cấp tỉnh thực hiện kiểm tra hoạt động đấu thầu theo quy định tại điểm a khoản này; người có thẩm quyền tổ chức kiểm tra hoạt động đấu thầu đối với các gói thầu thuộc dự án, dự toán mua sắm thuộc phạm vi quản lý của mình.</w:t>
            </w:r>
          </w:p>
          <w:p w14:paraId="5F004AD5" w14:textId="77777777" w:rsidR="00F435AF" w:rsidRPr="004D333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lastRenderedPageBreak/>
              <w:t>Theo quy định tại điểm c khoản 10 Điều 2 Thông tư 57/2025/TT-BTC ngày 25/6/2025 của Bộ trưởng Bộ Tài chính, Sở Tài chính chủ trì tổ chức kiểm tra, giám sát, theo dõi việc thực hiện các quy định của pháp luật về đấu thầu đối với các dự án, dự toán trên địa bàn tỉnh.</w:t>
            </w:r>
          </w:p>
          <w:p w14:paraId="2943C903" w14:textId="77777777" w:rsidR="00F435AF" w:rsidRPr="004D333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Căn cứ quy định nêu trên, khi triển khai chính quyền địa phương 02 cấp, việc kiểm tra, giám sát hoạt động đấu thầu được thực hiện cụ thể như sau:</w:t>
            </w:r>
          </w:p>
          <w:p w14:paraId="288346B1" w14:textId="77777777" w:rsidR="00F435AF" w:rsidRPr="004D333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1. Cấp tỉnh:</w:t>
            </w:r>
          </w:p>
          <w:p w14:paraId="4F3BBC88" w14:textId="77777777" w:rsidR="00F435AF" w:rsidRPr="004D333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UBND cấp tỉnh có trách nhiệm chủ trì tổ chức kiểm tra hoạt động đấu thầu của các đơn vị thuộc phạm vi quản lý và các dự án do Chủ tịch UBND cấp tỉnh quyết định đầu tư; Sở Tài chính giúp UBND cấp tỉnh thực hiện kiểm tra hoạt động đấu thầu.</w:t>
            </w:r>
          </w:p>
          <w:p w14:paraId="41BC8B24" w14:textId="77777777" w:rsidR="00F435AF" w:rsidRPr="004D333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 Đối với công tác giám sát thường xuyên hoạt động đấu thầu, Sở Tài chính (Cơ quan quản lý nhà nước về đấu thầu tại địa phương) thực hiện việc giám sát với các gói thầu thuộc dự án, dự toán mua sắm trên địa bàn tỉnh.</w:t>
            </w:r>
          </w:p>
          <w:p w14:paraId="7932C6D5" w14:textId="77777777" w:rsidR="00F435AF" w:rsidRPr="004D333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Đối với công tác giám sát thuộc trách nhiệm của người có thẩm quyền, căn cứ quy mô, tính chất của gói thầu, Chủ tịch UBND cấp tỉnh giao cơ quan, tổ chức trực thuộc thực hiện việc giám sát đối với các gói thầu do Chủ tịch UBND cấp tỉnh là người có thẩm quyền.</w:t>
            </w:r>
          </w:p>
          <w:p w14:paraId="2C02C2A8" w14:textId="77777777" w:rsidR="00F435AF" w:rsidRPr="004D333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2. Cấp xã:</w:t>
            </w:r>
          </w:p>
          <w:p w14:paraId="00F26274" w14:textId="77777777" w:rsidR="00F435AF" w:rsidRPr="004D3336"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 Chủ tịch UBND cấp xã tổ chức kiểm tra hoạt động đấu thầu đối với các gói thầu thuộc dự án, dự toán mua sắm do Chủ tịch UBND xã là người có thẩm quyền.</w:t>
            </w:r>
          </w:p>
          <w:p w14:paraId="4511E6C6" w14:textId="6DB7B130" w:rsidR="00F435AF" w:rsidRPr="00EF276A"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 Chủ tịch UBND cấp xã thực hiện giám sát các gói thầu, dự án, dự toán mua sắm do Chủ tịch UBND xã là người có thẩm quyền.</w:t>
            </w:r>
          </w:p>
        </w:tc>
      </w:tr>
      <w:tr w:rsidR="00F435AF" w:rsidRPr="00636D4C" w14:paraId="393E0CCF" w14:textId="77777777" w:rsidTr="00982689">
        <w:trPr>
          <w:trHeight w:val="1960"/>
        </w:trPr>
        <w:tc>
          <w:tcPr>
            <w:tcW w:w="720" w:type="dxa"/>
            <w:shd w:val="clear" w:color="auto" w:fill="auto"/>
            <w:vAlign w:val="center"/>
          </w:tcPr>
          <w:p w14:paraId="2F1D72DB" w14:textId="126EB7A4" w:rsidR="00F435AF" w:rsidRPr="003077F6" w:rsidRDefault="00F435AF" w:rsidP="00982689">
            <w:pPr>
              <w:spacing w:after="0" w:line="240" w:lineRule="auto"/>
              <w:jc w:val="center"/>
              <w:rPr>
                <w:rFonts w:ascii="Times New Roman" w:hAnsi="Times New Roman" w:cs="Times New Roman"/>
                <w:color w:val="000000"/>
                <w:sz w:val="20"/>
                <w:szCs w:val="20"/>
                <w:lang w:val="vi-VN"/>
              </w:rPr>
            </w:pPr>
            <w:r w:rsidRPr="003077F6">
              <w:rPr>
                <w:rFonts w:ascii="Times New Roman" w:hAnsi="Times New Roman" w:cs="Times New Roman"/>
                <w:sz w:val="20"/>
                <w:szCs w:val="20"/>
              </w:rPr>
              <w:lastRenderedPageBreak/>
              <w:t>62</w:t>
            </w:r>
          </w:p>
        </w:tc>
        <w:tc>
          <w:tcPr>
            <w:tcW w:w="1350" w:type="dxa"/>
            <w:shd w:val="clear" w:color="auto" w:fill="auto"/>
            <w:vAlign w:val="center"/>
          </w:tcPr>
          <w:p w14:paraId="17CC000C" w14:textId="21AA770F"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TP. Hồ Chí Minh</w:t>
            </w:r>
          </w:p>
        </w:tc>
        <w:tc>
          <w:tcPr>
            <w:tcW w:w="6480" w:type="dxa"/>
            <w:shd w:val="clear" w:color="auto" w:fill="auto"/>
            <w:vAlign w:val="center"/>
          </w:tcPr>
          <w:p w14:paraId="082A8097" w14:textId="100AC33F"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lang w:val="vi-VN"/>
                <w14:ligatures w14:val="none"/>
              </w:rPr>
              <w:t>Kiến nghị Bộ Tài chính có hướng dẫn về v</w:t>
            </w:r>
            <w:r w:rsidRPr="00EF276A">
              <w:rPr>
                <w:rFonts w:ascii="Times New Roman" w:eastAsia="Times New Roman" w:hAnsi="Times New Roman" w:cs="Times New Roman"/>
                <w:color w:val="000000"/>
                <w:kern w:val="0"/>
                <w:sz w:val="20"/>
                <w:szCs w:val="20"/>
                <w:lang w:val="vi-VN"/>
                <w14:ligatures w14:val="none"/>
              </w:rPr>
              <w:t>iệc chỉnh sửa, cập nhật thông tin, đồng bộ dữ liệu và phân cấp quản lý trên Hệ thống thông tin về giám sát, đánh giá đầu tư để các cơ quan, đơn vị đảm bảo chế độ giám sát, đánh giá đầu tư theo quy định tại Nghị định số 29/2021/NĐ-CP ngày 26 tháng 3 năm 2021 của Chính phủ và Thông tư số 05/2023/TT-BKHĐT ngày 30 tháng 6 năm 2023 của Bộ Kế hoạch và Đầu tư (nay là Bộ Tài chính)</w:t>
            </w:r>
          </w:p>
        </w:tc>
        <w:tc>
          <w:tcPr>
            <w:tcW w:w="7560" w:type="dxa"/>
            <w:vAlign w:val="center"/>
          </w:tcPr>
          <w:p w14:paraId="7CFE0CCD" w14:textId="2EF62645" w:rsidR="00F435AF" w:rsidRPr="00EF276A"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4D3336">
              <w:rPr>
                <w:rFonts w:ascii="Times New Roman" w:eastAsia="Times New Roman" w:hAnsi="Times New Roman" w:cs="Times New Roman"/>
                <w:color w:val="000000"/>
                <w:kern w:val="0"/>
                <w:sz w:val="20"/>
                <w:szCs w:val="20"/>
                <w:lang w:val="vi-VN"/>
                <w14:ligatures w14:val="none"/>
              </w:rPr>
              <w:t xml:space="preserve">Bộ Tài chính đã hoàn thành cập nhật thông tin, đồng bộ dữ liệu và phân cấp quản lý trên Hệ thống; đồng thời ngày 30/6/2025 Bộ Tài chính đã có công văn số 9569/BTC-CNTT về việc tạm dừng các Hệ thống thông tin để nâng cấp và thực hiện rà soát dữ liệu theo cơ cấu tổ chức bộ máy mới gửi các cơ quan, theo đó từ ngày 01/7/2025 đề nghị các cơ quan yêu cầu các Chủ đầu tư thực hiện so sánh dữ liệu trước và sau chuyển đổi theo hướng dẫn đăng tải trên Hệ thống. Do vậy đề nghị TP HCM yêu cầu các chủ đầu tư thực hiện theo hướng dẫn. Trong quá trình thực hiện nếu có vướng mắc liên hệ về Cục Công nghệ thông tin và chuyển đổi số, Bộ Tài chính để được hỗ trợ: số điện thoại 1900636436 (nhánh số 4) Email: </w:t>
            </w:r>
            <w:hyperlink r:id="rId8" w:history="1">
              <w:r w:rsidRPr="00FB1BE6">
                <w:rPr>
                  <w:rStyle w:val="Hyperlink"/>
                  <w:rFonts w:ascii="Times New Roman" w:eastAsia="Times New Roman" w:hAnsi="Times New Roman" w:cs="Times New Roman"/>
                  <w:color w:val="000000" w:themeColor="text1"/>
                  <w:kern w:val="0"/>
                  <w:sz w:val="20"/>
                  <w:szCs w:val="20"/>
                  <w:u w:val="none"/>
                  <w:lang w:val="vi-VN"/>
                  <w14:ligatures w14:val="none"/>
                </w:rPr>
                <w:t>hotroungdung@mof.gov.vn</w:t>
              </w:r>
            </w:hyperlink>
            <w:r w:rsidRPr="00FB1BE6">
              <w:rPr>
                <w:rFonts w:ascii="Times New Roman" w:eastAsia="Times New Roman" w:hAnsi="Times New Roman" w:cs="Times New Roman"/>
                <w:color w:val="000000" w:themeColor="text1"/>
                <w:kern w:val="0"/>
                <w:sz w:val="20"/>
                <w:szCs w:val="20"/>
                <w:lang w:val="vi-VN"/>
                <w14:ligatures w14:val="none"/>
              </w:rPr>
              <w:t>.</w:t>
            </w:r>
          </w:p>
        </w:tc>
      </w:tr>
      <w:tr w:rsidR="00F435AF" w:rsidRPr="00636D4C" w14:paraId="32E756BB" w14:textId="5ACF0F0C" w:rsidTr="00982689">
        <w:trPr>
          <w:trHeight w:val="560"/>
        </w:trPr>
        <w:tc>
          <w:tcPr>
            <w:tcW w:w="720" w:type="dxa"/>
            <w:shd w:val="clear" w:color="auto" w:fill="auto"/>
            <w:vAlign w:val="center"/>
          </w:tcPr>
          <w:p w14:paraId="6D29534B" w14:textId="3F54A2F3"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63</w:t>
            </w:r>
          </w:p>
        </w:tc>
        <w:tc>
          <w:tcPr>
            <w:tcW w:w="1350" w:type="dxa"/>
            <w:shd w:val="clear" w:color="auto" w:fill="auto"/>
            <w:vAlign w:val="center"/>
            <w:hideMark/>
          </w:tcPr>
          <w:p w14:paraId="656D4BA5" w14:textId="77777777"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Kiên Giang</w:t>
            </w:r>
          </w:p>
        </w:tc>
        <w:tc>
          <w:tcPr>
            <w:tcW w:w="6480" w:type="dxa"/>
            <w:shd w:val="clear" w:color="auto" w:fill="auto"/>
            <w:vAlign w:val="center"/>
            <w:hideMark/>
          </w:tcPr>
          <w:p w14:paraId="2CFBEC42" w14:textId="09B265B4" w:rsidR="00F435AF" w:rsidRPr="00CD495F" w:rsidRDefault="00F435AF" w:rsidP="00F435AF">
            <w:pPr>
              <w:spacing w:after="0" w:line="240" w:lineRule="auto"/>
              <w:jc w:val="both"/>
              <w:rPr>
                <w:rFonts w:ascii="Times New Roman" w:eastAsia="Times New Roman" w:hAnsi="Times New Roman" w:cs="Times New Roman"/>
                <w:color w:val="000000"/>
                <w:kern w:val="0"/>
                <w:sz w:val="20"/>
                <w:szCs w:val="20"/>
                <w:lang w:val="vi-VN"/>
                <w14:ligatures w14:val="none"/>
              </w:rPr>
            </w:pPr>
            <w:r w:rsidRPr="00DD7D32">
              <w:rPr>
                <w:rFonts w:ascii="Times New Roman" w:eastAsia="Times New Roman" w:hAnsi="Times New Roman" w:cs="Times New Roman"/>
                <w:color w:val="000000"/>
                <w:kern w:val="0"/>
                <w:sz w:val="20"/>
                <w:szCs w:val="20"/>
                <w14:ligatures w14:val="none"/>
              </w:rPr>
              <w:t>Kiến nghị Bộ Tài chính sớm có văn bản hướng dẫn thống nhất việc xử lý chi đầu tư phát triển do có liên quan kế hoạch trung hạn, cơ cấu nguồn vốn, thẩm quyền phân cấp, trong đó định hướng xử lý đối với những dự án đã thực hiện và dự án còn dở dang 6 tháng đầu năm</w:t>
            </w:r>
            <w:r>
              <w:rPr>
                <w:rFonts w:ascii="Times New Roman" w:eastAsia="Times New Roman" w:hAnsi="Times New Roman" w:cs="Times New Roman"/>
                <w:color w:val="000000"/>
                <w:kern w:val="0"/>
                <w:sz w:val="20"/>
                <w:szCs w:val="20"/>
                <w:lang w:val="vi-VN"/>
                <w14:ligatures w14:val="none"/>
              </w:rPr>
              <w:t>.</w:t>
            </w:r>
          </w:p>
        </w:tc>
        <w:tc>
          <w:tcPr>
            <w:tcW w:w="7560" w:type="dxa"/>
            <w:vAlign w:val="center"/>
          </w:tcPr>
          <w:p w14:paraId="54812663" w14:textId="07FD2BA2" w:rsidR="00F435AF" w:rsidRPr="00787DF0" w:rsidRDefault="00F435AF" w:rsidP="00F435AF">
            <w:pPr>
              <w:spacing w:after="60" w:line="276" w:lineRule="auto"/>
              <w:jc w:val="both"/>
              <w:rPr>
                <w:rFonts w:ascii="Times New Roman" w:eastAsia="Times New Roman" w:hAnsi="Times New Roman" w:cs="Times New Roman"/>
                <w:color w:val="000000"/>
                <w:kern w:val="0"/>
                <w:sz w:val="20"/>
                <w:szCs w:val="20"/>
                <w:lang w:val="vi-VN"/>
                <w14:ligatures w14:val="none"/>
              </w:rPr>
            </w:pPr>
            <w:r w:rsidRPr="00BB02D4">
              <w:rPr>
                <w:rFonts w:ascii="Times New Roman" w:eastAsia="Times New Roman" w:hAnsi="Times New Roman" w:cs="Times New Roman"/>
                <w:color w:val="000000"/>
                <w:kern w:val="0"/>
                <w:sz w:val="20"/>
                <w:szCs w:val="20"/>
                <w:lang w:val="vi-VN"/>
                <w14:ligatures w14:val="none"/>
              </w:rPr>
              <w:t xml:space="preserve">Tại Nghị định phân định thẩm quyền </w:t>
            </w:r>
            <w:r>
              <w:rPr>
                <w:rFonts w:ascii="Times New Roman" w:eastAsia="Times New Roman" w:hAnsi="Times New Roman" w:cs="Times New Roman"/>
                <w:color w:val="000000"/>
                <w:kern w:val="0"/>
                <w:sz w:val="20"/>
                <w:szCs w:val="20"/>
                <w:lang w:val="vi-VN"/>
                <w14:ligatures w14:val="none"/>
              </w:rPr>
              <w:t>trong lĩnh vực quản lý nhà nước của Bộ</w:t>
            </w:r>
            <w:r w:rsidRPr="00BB02D4">
              <w:rPr>
                <w:rFonts w:ascii="Times New Roman" w:eastAsia="Times New Roman" w:hAnsi="Times New Roman" w:cs="Times New Roman"/>
                <w:color w:val="000000"/>
                <w:kern w:val="0"/>
                <w:sz w:val="20"/>
                <w:szCs w:val="20"/>
                <w:lang w:val="vi-VN"/>
                <w14:ligatures w14:val="none"/>
              </w:rPr>
              <w:t xml:space="preserve"> Tài chính đã quy định theo nguyên tắc do không còn cấp huyện, nên cấp tỉnh sẽ tiếp nhận toàn bộ kế hoạch vốn của cấp huyện và được phép phân cấp cho cấp xã thực hiện tùy theo điều kiện cụ thể của từng địa phương. Việc bàn giao toàn bộ kế hoạch của cấp huyện để đảm bảo hồ sơ, tài liệu, </w:t>
            </w:r>
            <w:r w:rsidRPr="00BB02D4">
              <w:rPr>
                <w:rFonts w:ascii="Times New Roman" w:eastAsia="Times New Roman" w:hAnsi="Times New Roman" w:cs="Times New Roman"/>
                <w:color w:val="000000"/>
                <w:kern w:val="0"/>
                <w:sz w:val="20"/>
                <w:szCs w:val="20"/>
                <w:lang w:val="vi-VN"/>
                <w14:ligatures w14:val="none"/>
              </w:rPr>
              <w:lastRenderedPageBreak/>
              <w:t>dữ liệu kế hoạch được quản lý liên tục, thông suốt.</w:t>
            </w:r>
            <w:r>
              <w:rPr>
                <w:rFonts w:ascii="Times New Roman" w:eastAsia="Times New Roman" w:hAnsi="Times New Roman" w:cs="Times New Roman"/>
                <w:color w:val="000000"/>
                <w:kern w:val="0"/>
                <w:sz w:val="20"/>
                <w:szCs w:val="20"/>
                <w:lang w:val="vi-VN"/>
                <w14:ligatures w14:val="none"/>
              </w:rPr>
              <w:t xml:space="preserve"> </w:t>
            </w:r>
            <w:r w:rsidRPr="00BB02D4">
              <w:rPr>
                <w:rFonts w:ascii="Times New Roman" w:eastAsia="Times New Roman" w:hAnsi="Times New Roman" w:cs="Times New Roman"/>
                <w:color w:val="000000"/>
                <w:kern w:val="0"/>
                <w:sz w:val="20"/>
                <w:szCs w:val="20"/>
                <w:lang w:val="vi-VN"/>
                <w14:ligatures w14:val="none"/>
              </w:rPr>
              <w:t>Luật Đầu tư công đã quy định đầy đủ thẩm quyền về điều chỉnh kế hoạch đầu tư công trung hạn và hằng năm, các nguyên tắc sắp xếp thứ tự ưu tiên dự án, vì vậy, cùng với việc tiếp nhận và phân chia kế hoạch đầu tư công của cấp huyện trước đây, chính quyền cấp tỉnh có thể sắp xếp, quyết định việc tiếp tục thực hiện hoặc dừng chủ trương đầu tư các dự án chưa thực hiện theo thẩm quyền</w:t>
            </w:r>
            <w:r>
              <w:rPr>
                <w:rFonts w:ascii="Times New Roman" w:eastAsia="Times New Roman" w:hAnsi="Times New Roman" w:cs="Times New Roman"/>
                <w:color w:val="000000"/>
                <w:kern w:val="0"/>
                <w:sz w:val="20"/>
                <w:szCs w:val="20"/>
                <w:lang w:val="vi-VN"/>
                <w14:ligatures w14:val="none"/>
              </w:rPr>
              <w:t>.</w:t>
            </w:r>
          </w:p>
        </w:tc>
      </w:tr>
      <w:tr w:rsidR="00F435AF" w:rsidRPr="00CB19B3" w14:paraId="4BBF236E" w14:textId="79AA746F" w:rsidTr="00982689">
        <w:trPr>
          <w:trHeight w:val="525"/>
        </w:trPr>
        <w:tc>
          <w:tcPr>
            <w:tcW w:w="720" w:type="dxa"/>
            <w:shd w:val="clear" w:color="auto" w:fill="auto"/>
            <w:vAlign w:val="center"/>
          </w:tcPr>
          <w:p w14:paraId="6FF71E72" w14:textId="5C2558B6"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64</w:t>
            </w:r>
          </w:p>
        </w:tc>
        <w:tc>
          <w:tcPr>
            <w:tcW w:w="1350" w:type="dxa"/>
            <w:shd w:val="clear" w:color="auto" w:fill="auto"/>
            <w:vAlign w:val="center"/>
            <w:hideMark/>
          </w:tcPr>
          <w:p w14:paraId="7657E56F" w14:textId="3C908666"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Kiên Giang</w:t>
            </w:r>
          </w:p>
        </w:tc>
        <w:tc>
          <w:tcPr>
            <w:tcW w:w="6480" w:type="dxa"/>
            <w:shd w:val="clear" w:color="auto" w:fill="auto"/>
            <w:vAlign w:val="center"/>
            <w:hideMark/>
          </w:tcPr>
          <w:p w14:paraId="2509D46D"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Kiến nghị Bộ Tài chính có hướng dẫn về cơ chế ưu đãi đầu tư cho địa phương mới sau sáp nhập</w:t>
            </w:r>
          </w:p>
        </w:tc>
        <w:tc>
          <w:tcPr>
            <w:tcW w:w="7560" w:type="dxa"/>
            <w:vAlign w:val="center"/>
          </w:tcPr>
          <w:p w14:paraId="4599C98B" w14:textId="0EBB218E" w:rsidR="00F435AF" w:rsidRPr="009A551C"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9A551C">
              <w:rPr>
                <w:rFonts w:ascii="Times New Roman" w:eastAsia="Times New Roman" w:hAnsi="Times New Roman" w:cs="Times New Roman"/>
                <w:color w:val="000000"/>
                <w:kern w:val="0"/>
                <w:sz w:val="20"/>
                <w:szCs w:val="20"/>
                <w14:ligatures w14:val="none"/>
              </w:rPr>
              <w:t>Bộ Tài chính đã có công văn số 4525/BTC-PC ngày 09/4/2025 hướng dẫn xác định ưu đãi đầu tư, thủ tục điều chỉnh dự án đầu tư trong trường hợp thay đổi địa giới hành chính (gửi kèm).</w:t>
            </w:r>
          </w:p>
          <w:p w14:paraId="37D5B07D" w14:textId="77777777" w:rsidR="00F435AF" w:rsidRPr="009A551C" w:rsidRDefault="00F435AF" w:rsidP="00F435AF">
            <w:pPr>
              <w:spacing w:after="40" w:line="240" w:lineRule="auto"/>
              <w:jc w:val="both"/>
              <w:rPr>
                <w:rFonts w:ascii="Times New Roman" w:eastAsia="Times New Roman" w:hAnsi="Times New Roman" w:cs="Times New Roman"/>
                <w:color w:val="000000"/>
                <w:kern w:val="0"/>
                <w:sz w:val="20"/>
                <w:szCs w:val="20"/>
                <w14:ligatures w14:val="none"/>
              </w:rPr>
            </w:pPr>
            <w:r w:rsidRPr="009A551C">
              <w:rPr>
                <w:rFonts w:ascii="Times New Roman" w:eastAsia="Times New Roman" w:hAnsi="Times New Roman" w:cs="Times New Roman"/>
                <w:color w:val="000000"/>
                <w:kern w:val="0"/>
                <w:sz w:val="20"/>
                <w:szCs w:val="20"/>
                <w14:ligatures w14:val="none"/>
              </w:rPr>
              <w:t>Ngoài ra, tại dự thảo Nghị định (Điều 21) sửa đổi Nghị định số 31/2021/NĐ-CP dự kiến quy định các nguyên tắc xác định địa bàn ưu đãi đầu tư trong trường hợp thay đổi địa giới hành chính (gửi kèm Tờ trình số 370/TTr-BTC).</w:t>
            </w:r>
          </w:p>
          <w:p w14:paraId="1B41C9AD" w14:textId="30176AFA" w:rsidR="00F435AF" w:rsidRPr="00412492"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9A551C">
              <w:rPr>
                <w:rFonts w:ascii="Times New Roman" w:eastAsia="Times New Roman" w:hAnsi="Times New Roman" w:cs="Times New Roman"/>
                <w:color w:val="000000"/>
                <w:kern w:val="0"/>
                <w:sz w:val="20"/>
                <w:szCs w:val="20"/>
                <w14:ligatures w14:val="none"/>
              </w:rPr>
              <w:t xml:space="preserve">Do đó, đề nghị tỉnh </w:t>
            </w:r>
            <w:r>
              <w:rPr>
                <w:rFonts w:ascii="Times New Roman" w:eastAsia="Times New Roman" w:hAnsi="Times New Roman" w:cs="Times New Roman"/>
                <w:color w:val="000000"/>
                <w:kern w:val="0"/>
                <w:sz w:val="20"/>
                <w:szCs w:val="20"/>
                <w14:ligatures w14:val="none"/>
              </w:rPr>
              <w:t>Kiên</w:t>
            </w:r>
            <w:r w:rsidRPr="009A551C">
              <w:rPr>
                <w:rFonts w:ascii="Times New Roman" w:eastAsia="Times New Roman" w:hAnsi="Times New Roman" w:cs="Times New Roman"/>
                <w:color w:val="000000"/>
                <w:kern w:val="0"/>
                <w:sz w:val="20"/>
                <w:szCs w:val="20"/>
                <w14:ligatures w14:val="none"/>
              </w:rPr>
              <w:t xml:space="preserve"> Giang nghiên cứu nội dung các văn bản nêu trên.</w:t>
            </w:r>
          </w:p>
        </w:tc>
      </w:tr>
      <w:tr w:rsidR="00F435AF" w:rsidRPr="00636D4C" w14:paraId="0EE47A27" w14:textId="2FA026A5" w:rsidTr="00982689">
        <w:trPr>
          <w:trHeight w:val="1155"/>
        </w:trPr>
        <w:tc>
          <w:tcPr>
            <w:tcW w:w="720" w:type="dxa"/>
            <w:shd w:val="clear" w:color="auto" w:fill="auto"/>
            <w:vAlign w:val="center"/>
          </w:tcPr>
          <w:p w14:paraId="57C3F309" w14:textId="02A88CA9"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65</w:t>
            </w:r>
          </w:p>
        </w:tc>
        <w:tc>
          <w:tcPr>
            <w:tcW w:w="1350" w:type="dxa"/>
            <w:shd w:val="clear" w:color="auto" w:fill="auto"/>
            <w:vAlign w:val="center"/>
            <w:hideMark/>
          </w:tcPr>
          <w:p w14:paraId="134F8A5F" w14:textId="3B102D02"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Kiên Giang</w:t>
            </w:r>
          </w:p>
        </w:tc>
        <w:tc>
          <w:tcPr>
            <w:tcW w:w="6480" w:type="dxa"/>
            <w:shd w:val="clear" w:color="auto" w:fill="auto"/>
            <w:vAlign w:val="center"/>
            <w:hideMark/>
          </w:tcPr>
          <w:p w14:paraId="6D7C19C7"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Quá trình thay đổi thông tin giấy chứng nhận đăng ký doanh nghiệp, giấy chứng nhận đăng ký kinh doanh hộ cá thể, giấy chứng nhận đăng ký kinh doanh có điều kiện phải thực hiện nhiều thủ tục hành chính, làm mất nhiều thời gian và chi phí. Kiến nghị Bộ Tài chính có văn bản hướng dẫn để đơn giản hóa các thủ tục hành chính cho các tổ chức, cá nhân bị ảnh hưởng bởi việc thay đổi địa giới hành chính, đồng thời có cơ chế miễn lệ phí</w:t>
            </w:r>
          </w:p>
        </w:tc>
        <w:tc>
          <w:tcPr>
            <w:tcW w:w="7560" w:type="dxa"/>
            <w:vAlign w:val="center"/>
          </w:tcPr>
          <w:p w14:paraId="2DF7599D" w14:textId="2DE615BC" w:rsidR="00F435AF" w:rsidRPr="00636D4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Về việc cập nhật thông tin về địa chỉ do thay đổi địa giới hành chính, ngày 05/4/2025, Bộ Tài chính đã có Công văn số 4370/BTC-DNTN hướng dẫn địa phương. Theo đó, DN, HKD, THT, HTX, LHHTX vẫn tiếp tục sử dụng Giấy chứng nhận đã được cấp. Cơ quan ĐKKD không yêu cầu DN, HKD, THT, HTX, LHHTX đăng ký thay đổi thông tin về địa chỉ do thay đổi địa giới hành chính. DN, HKD, THT, HTX, LHHTX cập nhật thông tin về địa chỉ do thay đổi địa giới hành chính trên Giấy chứng nhận khi có nhu cầu hoặc thực hiện đồng thời khi đăng ký thay đổi, thông báo thay đổi nội dung khác trong đăng ký doanh nghiệp, hộ kinh doanh, tổ hợp tác, hợp tác xã, liên hiệp hợp tác xã. Đồng thời, Bộ Tài chính đề nghị UBND các cấp thông tin, phố biến cho DN, HKD, THT, HTX, LHHTX trên địa bàn.</w:t>
            </w:r>
          </w:p>
        </w:tc>
      </w:tr>
      <w:tr w:rsidR="00F435AF" w:rsidRPr="00CB19B3" w14:paraId="0ECF640E" w14:textId="0535B56E" w:rsidTr="00982689">
        <w:trPr>
          <w:trHeight w:val="525"/>
        </w:trPr>
        <w:tc>
          <w:tcPr>
            <w:tcW w:w="720" w:type="dxa"/>
            <w:shd w:val="clear" w:color="auto" w:fill="auto"/>
            <w:vAlign w:val="center"/>
          </w:tcPr>
          <w:p w14:paraId="6E2ED2A0" w14:textId="15D0DF7C"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66</w:t>
            </w:r>
          </w:p>
        </w:tc>
        <w:tc>
          <w:tcPr>
            <w:tcW w:w="1350" w:type="dxa"/>
            <w:shd w:val="clear" w:color="auto" w:fill="auto"/>
            <w:vAlign w:val="center"/>
            <w:hideMark/>
          </w:tcPr>
          <w:p w14:paraId="155347A1" w14:textId="6ACB05CD"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Kiên Giang</w:t>
            </w:r>
          </w:p>
        </w:tc>
        <w:tc>
          <w:tcPr>
            <w:tcW w:w="6480" w:type="dxa"/>
            <w:shd w:val="clear" w:color="auto" w:fill="auto"/>
            <w:vAlign w:val="center"/>
            <w:hideMark/>
          </w:tcPr>
          <w:p w14:paraId="36EF9693"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Qua nghiên cứu và tham khảo một số địa phương cho rằng có thể trình nội dung phân cấp nguồn thu, nhiệm vụ chi giữa các cấp ngân sách và quy định tỷ lệ % phân chia giữa các cấp ngân sách địa phương lồng ghép trong nội dung của Nghị quyết điều chỉnh dự toán năm 2025. Tuy nhiên đây là Nghị quyết cá biệt lại lồng ghép nội dung điều chỉnh Nghị quyết quy phạm pháp luật về phân cấp nguồn thu, nhiệm vụ chi quy định tỷ lệ % phân chia giữa các cấp ngân sách địa phương là chưa phù hợp. đề nghị Bộ Tài chính có hướng dẫn địa phương về nội dung này để địa phương đúng quy định</w:t>
            </w:r>
          </w:p>
        </w:tc>
        <w:tc>
          <w:tcPr>
            <w:tcW w:w="7560" w:type="dxa"/>
            <w:vAlign w:val="center"/>
          </w:tcPr>
          <w:p w14:paraId="787DE4D2" w14:textId="409B01D8" w:rsidR="00F435AF" w:rsidRPr="00B14927"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B14927">
              <w:rPr>
                <w:rFonts w:ascii="Times New Roman" w:eastAsia="Times New Roman" w:hAnsi="Times New Roman" w:cs="Times New Roman"/>
                <w:color w:val="000000"/>
                <w:kern w:val="0"/>
                <w:sz w:val="20"/>
                <w:szCs w:val="20"/>
                <w14:ligatures w14:val="none"/>
              </w:rPr>
              <w:t xml:space="preserve">Bộ Tài chính đã có văn bản số 4205/BTC-NSNN ngày 02/4/2025 và số 8911/BTC-NSNN ngày 20/6/2025 hướng dẫn nguyên tắc xử lý tài chính, ngân sách nhà nước khi tổ chức lại đơn vị hành chính các cấp và xây dựng mô hình tổ chức chính quyền địa phương 02 cấp. Đề nghị </w:t>
            </w:r>
            <w:r>
              <w:rPr>
                <w:rFonts w:ascii="Times New Roman" w:eastAsia="Times New Roman" w:hAnsi="Times New Roman" w:cs="Times New Roman"/>
                <w:color w:val="000000"/>
                <w:kern w:val="0"/>
                <w:sz w:val="20"/>
                <w:szCs w:val="20"/>
                <w:lang w:val="vi-VN"/>
                <w14:ligatures w14:val="none"/>
              </w:rPr>
              <w:t>t</w:t>
            </w:r>
            <w:r w:rsidRPr="00B14927">
              <w:rPr>
                <w:rFonts w:ascii="Times New Roman" w:eastAsia="Times New Roman" w:hAnsi="Times New Roman" w:cs="Times New Roman"/>
                <w:color w:val="000000"/>
                <w:kern w:val="0"/>
                <w:sz w:val="20"/>
                <w:szCs w:val="20"/>
                <w14:ligatures w14:val="none"/>
              </w:rPr>
              <w:t>ỉnh nghiên cứu thực hiện. Đối với việc lồng ghép các nội dung điều chỉnh Nghị quyết, đề nghị xin ý kiến của Bộ Tư pháp, Sở Tư pháp địa phương.</w:t>
            </w:r>
          </w:p>
        </w:tc>
      </w:tr>
      <w:tr w:rsidR="00F435AF" w:rsidRPr="00636D4C" w14:paraId="014AC949" w14:textId="10C03E68" w:rsidTr="00982689">
        <w:trPr>
          <w:trHeight w:val="1035"/>
        </w:trPr>
        <w:tc>
          <w:tcPr>
            <w:tcW w:w="720" w:type="dxa"/>
            <w:shd w:val="clear" w:color="auto" w:fill="auto"/>
            <w:vAlign w:val="center"/>
          </w:tcPr>
          <w:p w14:paraId="453E37B7" w14:textId="50320C77"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67</w:t>
            </w:r>
          </w:p>
        </w:tc>
        <w:tc>
          <w:tcPr>
            <w:tcW w:w="1350" w:type="dxa"/>
            <w:shd w:val="clear" w:color="auto" w:fill="auto"/>
            <w:vAlign w:val="center"/>
            <w:hideMark/>
          </w:tcPr>
          <w:p w14:paraId="7EEC3E05" w14:textId="3E59BABF"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Kiên Giang</w:t>
            </w:r>
          </w:p>
        </w:tc>
        <w:tc>
          <w:tcPr>
            <w:tcW w:w="6480" w:type="dxa"/>
            <w:shd w:val="clear" w:color="auto" w:fill="auto"/>
            <w:vAlign w:val="center"/>
            <w:hideMark/>
          </w:tcPr>
          <w:p w14:paraId="48143E27" w14:textId="2A71BBB0"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Đề nghị Bộ Tài chính có hướng dẫn cụ thể về việc bàn giao, tiếp nhận, tiếp tục theo dõi quản lý nợ chính quyền địa phương sau sáp nhập do hiện nay các hiệp định vay với nhà tài trợ và thỏa thuận vay lại đều trên danh nghĩa của Ủy ban nhân dân tỉnh trước sáp nhập</w:t>
            </w:r>
          </w:p>
        </w:tc>
        <w:tc>
          <w:tcPr>
            <w:tcW w:w="7560" w:type="dxa"/>
            <w:vAlign w:val="center"/>
          </w:tcPr>
          <w:p w14:paraId="27B012E6" w14:textId="113D1885" w:rsidR="00F435AF" w:rsidRPr="00106EE9"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106EE9">
              <w:rPr>
                <w:rFonts w:ascii="Times New Roman" w:eastAsia="Times New Roman" w:hAnsi="Times New Roman" w:cs="Times New Roman"/>
                <w:color w:val="000000"/>
                <w:kern w:val="0"/>
                <w:sz w:val="20"/>
                <w:szCs w:val="20"/>
                <w:lang w:val="vi-VN"/>
                <w14:ligatures w14:val="none"/>
              </w:rPr>
              <w:t xml:space="preserve">Bộ trưởng Bộ Tài chính đã có Công điện số 03/CĐ-BTC ngày 26/6/2025 gửi Chủ tịch UBND các tỉnh/thành phố trực thuộc trung ương về việc chuẩn bị công tác quản lý nợ cho vay lại chính quyền địa phương trong quá trình sắp xếp, kiện toàn tổ chức bộ máy chính quyền địa phương 02 cấp; theo đó, đề nghị các địa phương rà soát các chương trình, dự án vay lại vốn vay ODA, vay ưu đãi nước ngoài của Chính phủ theo công văn số 3220/BTC-QLN ngày </w:t>
            </w:r>
            <w:r w:rsidRPr="00106EE9">
              <w:rPr>
                <w:rFonts w:ascii="Times New Roman" w:eastAsia="Times New Roman" w:hAnsi="Times New Roman" w:cs="Times New Roman"/>
                <w:color w:val="000000"/>
                <w:kern w:val="0"/>
                <w:sz w:val="20"/>
                <w:szCs w:val="20"/>
                <w:lang w:val="vi-VN"/>
                <w14:ligatures w14:val="none"/>
              </w:rPr>
              <w:lastRenderedPageBreak/>
              <w:t>18/3/2025 của Bộ Tài chính gửi UBND các tỉnh/thành phố trực thuộc Trung ương về việc chuẩn bị triển khai kết luận của Bộ Chính trị về Đề án sáp nhập một số đơn vị hành chính cấp tỉnh, không tổ chức cấp huyện liên quan đến công tác quản lý cho vay lại nguồn vốn ODA, vay ưu đãi nước ngoài; đồng thời, thực hiện theo các hướng dẫn, báo cáo tại công văn số 4738/BTC-TH ngày 14/4/2025 của Bộ Tài chính về hướng dẫn chuyển tiếp quản lý các chương trình, nhiệm vụ, dự án, kế hoạch đầu tư công trong quá trình sắp xếp, kiện toàn tổ chức bộ máy chính quyền địa phương 02 cấp, trong đó bao gồm các hướng dẫn đối với các chương trình, dự án sử dụng vốn ODA, vay ưu đãi nước ngoài của Chính phủ.</w:t>
            </w:r>
          </w:p>
          <w:p w14:paraId="6D9F0721" w14:textId="15A1F5DA" w:rsidR="00F435AF" w:rsidRPr="00B34329"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106EE9">
              <w:rPr>
                <w:rFonts w:ascii="Times New Roman" w:eastAsia="Times New Roman" w:hAnsi="Times New Roman" w:cs="Times New Roman"/>
                <w:color w:val="000000"/>
                <w:kern w:val="0"/>
                <w:sz w:val="20"/>
                <w:szCs w:val="20"/>
                <w:lang w:val="vi-VN"/>
                <w14:ligatures w14:val="none"/>
              </w:rPr>
              <w:t>Ngoài ra, Bộ Tài chính đã có công văn số 4205/BTC-NSNN ngày 02/4/2025 gửi UBND các tỉnh, thành phố trực thuộc trung ương về việc hướng dẫn nguyên tắc xử lý tài chính, NSNN khi tổ chức đơn vị hành chính các cấp và xây dựng mô hình tổ chức CQĐP 02 cấp, theo đó, khi thực hiện bàn giao nguồn tài chính, ngân sách nhà nước giữa các cơ quan, đơn vị phải lập biên bản bàn giao, tiếp nhận giữa các bên, kể cả các khoản nợ phải thu, phải trả (nếu có), các kết luận, kiến nghị của cơ quan thanh tra, kiểm tra chưa thực hiện. Do đó, đề nghị</w:t>
            </w:r>
            <w:r>
              <w:rPr>
                <w:rFonts w:ascii="Times New Roman" w:eastAsia="Times New Roman" w:hAnsi="Times New Roman" w:cs="Times New Roman"/>
                <w:color w:val="000000"/>
                <w:kern w:val="0"/>
                <w:sz w:val="20"/>
                <w:szCs w:val="20"/>
                <w:lang w:val="vi-VN"/>
                <w14:ligatures w14:val="none"/>
              </w:rPr>
              <w:t xml:space="preserve"> </w:t>
            </w:r>
            <w:r w:rsidRPr="00B34329">
              <w:rPr>
                <w:rFonts w:ascii="Times New Roman" w:eastAsia="Times New Roman" w:hAnsi="Times New Roman" w:cs="Times New Roman"/>
                <w:color w:val="000000"/>
                <w:kern w:val="0"/>
                <w:sz w:val="20"/>
                <w:szCs w:val="20"/>
                <w:lang w:val="vi-VN"/>
                <w14:ligatures w14:val="none"/>
              </w:rPr>
              <w:t>UBND các tỉnh, thành phố trực thuộc trung ương thực hiện đúng theo các hướng dẫn của Bộ Tài chính, đảm bảo trả nợ đầy đủ, đúng hạn các khoản nợ vay về cho vay lại với Bộ Tài chính.</w:t>
            </w:r>
          </w:p>
          <w:p w14:paraId="3A26E7D6" w14:textId="08E16B5D" w:rsidR="00F435AF" w:rsidRPr="00106EE9"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B34329">
              <w:rPr>
                <w:rFonts w:ascii="Times New Roman" w:eastAsia="Times New Roman" w:hAnsi="Times New Roman" w:cs="Times New Roman"/>
                <w:color w:val="000000"/>
                <w:kern w:val="0"/>
                <w:sz w:val="20"/>
                <w:szCs w:val="20"/>
                <w:lang w:val="vi-VN"/>
                <w14:ligatures w14:val="none"/>
              </w:rPr>
              <w:t>Đồng thời, liên quan đến dự toán NSNN năm 2025 bao gồm dự toán cho vay lại của các địa phương sau sáp nhập, Bộ Tài chính đã có Quyết định số 1391/QĐ-BTC ngày 27/6/2025 về việc giao chi tiết dự toán NSNN năm 2025 cho các tỉnh, thành phố trực thuộc trung ương đã thực hiện sắp xếp đơn vị hành chính cấp tỉnh. Bộ Tài chính đề nghị UBND các tỉnh, thành phố trực thuộc trung ương khẩn trương thực hiện phân bổ, giao dự toán theo đúng quy định.</w:t>
            </w:r>
          </w:p>
        </w:tc>
      </w:tr>
      <w:tr w:rsidR="00F435AF" w:rsidRPr="00636D4C" w14:paraId="2A80081C" w14:textId="0198BE3C" w:rsidTr="00982689">
        <w:trPr>
          <w:trHeight w:val="525"/>
        </w:trPr>
        <w:tc>
          <w:tcPr>
            <w:tcW w:w="720" w:type="dxa"/>
            <w:shd w:val="clear" w:color="auto" w:fill="auto"/>
            <w:vAlign w:val="center"/>
          </w:tcPr>
          <w:p w14:paraId="2D189C69" w14:textId="60BE2A10"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68</w:t>
            </w:r>
          </w:p>
        </w:tc>
        <w:tc>
          <w:tcPr>
            <w:tcW w:w="1350" w:type="dxa"/>
            <w:shd w:val="clear" w:color="auto" w:fill="auto"/>
            <w:vAlign w:val="center"/>
            <w:hideMark/>
          </w:tcPr>
          <w:p w14:paraId="2435260A" w14:textId="39AE4D86"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Kiên Giang</w:t>
            </w:r>
          </w:p>
        </w:tc>
        <w:tc>
          <w:tcPr>
            <w:tcW w:w="6480" w:type="dxa"/>
            <w:shd w:val="clear" w:color="auto" w:fill="auto"/>
            <w:vAlign w:val="center"/>
            <w:hideMark/>
          </w:tcPr>
          <w:p w14:paraId="26010DF6"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Kiến nghị Bộ Tài chính có hướng dẫn thống nhất việc xử lý ngân sách đối với các đơn vị kết thúc nhiệm vụ sau ngày 30/6/2025 (ví dụ các phòng chuyên môn, các đơn vị sự nghiệp thuộc Ủy ban nhân dân huyện). Đề xuất giao Phòng Tài chính – Kế hoạch huyện thực hiện quyết toán đối với các đơn vị nêu trên hoặc cho đối chiếu số liệu khớp đúng với Kho bạc Nhà nước để cấp tỉnh có cơ sở tổng hợp quyết toán chi ngân sách cấp tỉnh khi kết thúc thời gian chỉnh lý quyết toán ngân sách năm 2025 (cơ quan tài chính tỉnh không quyết toán). Trường hợp giao cơ quan cấp tỉnh thẩm định hoặc xét duyệt cho đơn vị thuộc cấp huyện là không đúng chức năng nhiệm vụ</w:t>
            </w:r>
          </w:p>
        </w:tc>
        <w:tc>
          <w:tcPr>
            <w:tcW w:w="7560" w:type="dxa"/>
            <w:vAlign w:val="center"/>
          </w:tcPr>
          <w:p w14:paraId="7A579BAA" w14:textId="77777777"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636D4C">
              <w:rPr>
                <w:rFonts w:ascii="Times New Roman" w:eastAsia="Times New Roman" w:hAnsi="Times New Roman" w:cs="Times New Roman"/>
                <w:color w:val="000000"/>
                <w:kern w:val="0"/>
                <w:sz w:val="20"/>
                <w:szCs w:val="20"/>
                <w:lang w:val="vi-VN"/>
                <w14:ligatures w14:val="none"/>
              </w:rPr>
              <w:t>Bộ Tài chính đã có văn bản số 4205/BTC-NSNN ngày 02/4/2025 và số 8911/BTC-NSNN ngày 20/6/2025 hướng dẫn nguyên tắc xử lý tài chính, ngân sách nhà nước khi tổ chức lại đơn vị hành chính các cấp và xây dựng mô hình tổ chức chính quyền địa phương 02 cấp. Đề nghị Tỉnh nghiên cứu thực hiện.</w:t>
            </w:r>
          </w:p>
          <w:p w14:paraId="5BC6ADD5" w14:textId="5299B98A" w:rsidR="00F435AF" w:rsidRPr="00C103A7"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C103A7">
              <w:rPr>
                <w:rFonts w:ascii="Times New Roman" w:eastAsia="Times New Roman" w:hAnsi="Times New Roman" w:cs="Times New Roman"/>
                <w:color w:val="000000"/>
                <w:kern w:val="0"/>
                <w:sz w:val="20"/>
                <w:szCs w:val="20"/>
                <w:lang w:val="vi-VN"/>
                <w14:ligatures w14:val="none"/>
              </w:rPr>
              <w:t>Đối với vốn đầu tư công nguồn NSNN, việc quyết toán niên độ ngân sách thực hiện theo quy định tại Nghị định số 99/2021/NĐ-CP ngày 11/11/2021 của Chính phủ quy định về quản lý, thanh toán, quyết toán dự án sử dụng vốn đầu tư công. Do vậy, sau khi thực hiện phân định thẩm quyền của chính quyền địa phương theo mô hình 2 cấp, chủ đầu tư và cơ quan cấp trên chủ đầu tư có trách nhiệm quyết toán niên độ ngân sách theo quy định tại Nghị định số 99/2021/NĐ-CP ngày 11/11/2021 của Chính phủ và Luật Ngân sách nhà nước.</w:t>
            </w:r>
          </w:p>
        </w:tc>
      </w:tr>
      <w:tr w:rsidR="00F435AF" w:rsidRPr="00636D4C" w14:paraId="5A5EB0F3" w14:textId="70079A65" w:rsidTr="00982689">
        <w:trPr>
          <w:trHeight w:val="525"/>
        </w:trPr>
        <w:tc>
          <w:tcPr>
            <w:tcW w:w="720" w:type="dxa"/>
            <w:shd w:val="clear" w:color="auto" w:fill="auto"/>
            <w:vAlign w:val="center"/>
          </w:tcPr>
          <w:p w14:paraId="0CC3DBED" w14:textId="6745E834"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t>69</w:t>
            </w:r>
          </w:p>
        </w:tc>
        <w:tc>
          <w:tcPr>
            <w:tcW w:w="1350" w:type="dxa"/>
            <w:shd w:val="clear" w:color="auto" w:fill="auto"/>
            <w:vAlign w:val="center"/>
            <w:hideMark/>
          </w:tcPr>
          <w:p w14:paraId="50D8C257" w14:textId="6193529D"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Kiên Giang</w:t>
            </w:r>
          </w:p>
        </w:tc>
        <w:tc>
          <w:tcPr>
            <w:tcW w:w="6480" w:type="dxa"/>
            <w:shd w:val="clear" w:color="auto" w:fill="auto"/>
            <w:vAlign w:val="center"/>
            <w:hideMark/>
          </w:tcPr>
          <w:p w14:paraId="26A45E62"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Kiến nghị Bộ Tài chính hướng dẫn việc miễn lệ phí cho các cá nhân, tổ chức, doanh nghiệp khi thực hiện chuyển đổi giấy tờ có liên quan.</w:t>
            </w:r>
          </w:p>
        </w:tc>
        <w:tc>
          <w:tcPr>
            <w:tcW w:w="7560" w:type="dxa"/>
            <w:vAlign w:val="center"/>
          </w:tcPr>
          <w:p w14:paraId="68ECA485" w14:textId="7F6838DF" w:rsidR="00F435AF" w:rsidRPr="00B345FC"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B345FC">
              <w:rPr>
                <w:rFonts w:ascii="Times New Roman" w:eastAsia="Times New Roman" w:hAnsi="Times New Roman" w:cs="Times New Roman"/>
                <w:color w:val="000000"/>
                <w:kern w:val="0"/>
                <w:sz w:val="20"/>
                <w:szCs w:val="20"/>
                <w:lang w:val="vi-VN"/>
                <w14:ligatures w14:val="none"/>
              </w:rPr>
              <w:t xml:space="preserve">Ngày 18/6/2025, Bộ Tài chính có Công văn số 8614/BTC-DNTN trả lời kiến nghị về việc thực hiện phân cấp, phân quyền, phân định thẩm quyền khi sắp xếp ĐVHC và tổ chức mô hình CQĐP 02 cấp. Theo Mục III.3 Công văn trên thì địa phương căn cứ quy định tại khoản </w:t>
            </w:r>
            <w:r w:rsidRPr="00B345FC">
              <w:rPr>
                <w:rFonts w:ascii="Times New Roman" w:eastAsia="Times New Roman" w:hAnsi="Times New Roman" w:cs="Times New Roman"/>
                <w:color w:val="000000"/>
                <w:kern w:val="0"/>
                <w:sz w:val="20"/>
                <w:szCs w:val="20"/>
                <w:lang w:val="vi-VN"/>
                <w14:ligatures w14:val="none"/>
              </w:rPr>
              <w:lastRenderedPageBreak/>
              <w:t>8 Điều 10 Nghị quyết số 198/2025/QH15 để có hướng dẫn về việc miễn phí, lệ phí thuộc thẩm quyền của Hội đồng nhân dân tỉnh khi thực hiện chuyển đổi các loại giấy tờ có liên quan của các cá nhân, tổ chức, doanh nghiệp khi sắp xếp đơn vị hành chính và tổ chức chính quyền địa phương 02 cấp.</w:t>
            </w:r>
          </w:p>
          <w:p w14:paraId="63D4F01B" w14:textId="77777777" w:rsidR="00F435AF" w:rsidRPr="0036073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6073F">
              <w:rPr>
                <w:rFonts w:ascii="Times New Roman" w:eastAsia="Times New Roman" w:hAnsi="Times New Roman" w:cs="Times New Roman"/>
                <w:color w:val="000000"/>
                <w:kern w:val="0"/>
                <w:sz w:val="20"/>
                <w:szCs w:val="20"/>
                <w:lang w:val="vi-VN"/>
                <w14:ligatures w14:val="none"/>
              </w:rPr>
              <w:t xml:space="preserve">Điều 10 Luật Phí và lệ phí năm 2015 quy định việc miễn, giảm phí, lệ phí như sau: </w:t>
            </w:r>
          </w:p>
          <w:p w14:paraId="7B0C3065" w14:textId="77777777" w:rsidR="00F435AF" w:rsidRPr="0036073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6073F">
              <w:rPr>
                <w:rFonts w:ascii="Times New Roman" w:eastAsia="Times New Roman" w:hAnsi="Times New Roman" w:cs="Times New Roman"/>
                <w:color w:val="000000"/>
                <w:kern w:val="0"/>
                <w:sz w:val="20"/>
                <w:szCs w:val="20"/>
                <w:lang w:val="vi-VN"/>
                <w14:ligatures w14:val="none"/>
              </w:rPr>
              <w:t>“1. Các đối tượng thuộc diện miễn, giảm phí, lệ phí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w:t>
            </w:r>
          </w:p>
          <w:p w14:paraId="1DA99BD0" w14:textId="77777777" w:rsidR="00F435AF" w:rsidRPr="0036073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6073F">
              <w:rPr>
                <w:rFonts w:ascii="Times New Roman" w:eastAsia="Times New Roman" w:hAnsi="Times New Roman" w:cs="Times New Roman"/>
                <w:color w:val="000000"/>
                <w:kern w:val="0"/>
                <w:sz w:val="20"/>
                <w:szCs w:val="20"/>
                <w:lang w:val="vi-VN"/>
                <w14:ligatures w14:val="none"/>
              </w:rPr>
              <w:t>2. Ủy ban Thường vụ Quốc hội quy định cụ thể đối tượng được miễn, giảm án phí và lệ phí tòa án;</w:t>
            </w:r>
          </w:p>
          <w:p w14:paraId="0ECB3D7A" w14:textId="77777777" w:rsidR="00F435AF" w:rsidRPr="0036073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6073F">
              <w:rPr>
                <w:rFonts w:ascii="Times New Roman" w:eastAsia="Times New Roman" w:hAnsi="Times New Roman" w:cs="Times New Roman"/>
                <w:color w:val="000000"/>
                <w:kern w:val="0"/>
                <w:sz w:val="20"/>
                <w:szCs w:val="20"/>
                <w:lang w:val="vi-VN"/>
                <w14:ligatures w14:val="none"/>
              </w:rPr>
              <w:t>3. Chính phủ quy định cụ thể đối tượng được miễn, giảm đối với từng khoản phí, lệ phí thuộc thẩm quyền;</w:t>
            </w:r>
          </w:p>
          <w:p w14:paraId="26022CAA" w14:textId="77777777" w:rsidR="00F435AF" w:rsidRPr="0036073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6073F">
              <w:rPr>
                <w:rFonts w:ascii="Times New Roman" w:eastAsia="Times New Roman" w:hAnsi="Times New Roman" w:cs="Times New Roman"/>
                <w:color w:val="000000"/>
                <w:kern w:val="0"/>
                <w:sz w:val="20"/>
                <w:szCs w:val="20"/>
                <w:lang w:val="vi-VN"/>
                <w14:ligatures w14:val="none"/>
              </w:rPr>
              <w:t>4. Bộ trưởng Bộ Tài chính, Hội đồng nhân dân cấp tỉnh quy định cụ thể đối tượng được miễn, giảm đối với từng khoản phí, lệ phí thuộc thẩm quyền.”</w:t>
            </w:r>
          </w:p>
          <w:p w14:paraId="3C784A34" w14:textId="77777777" w:rsidR="00F435AF" w:rsidRPr="0036073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6073F">
              <w:rPr>
                <w:rFonts w:ascii="Times New Roman" w:eastAsia="Times New Roman" w:hAnsi="Times New Roman" w:cs="Times New Roman"/>
                <w:color w:val="000000"/>
                <w:kern w:val="0"/>
                <w:sz w:val="20"/>
                <w:szCs w:val="20"/>
                <w:lang w:val="vi-VN"/>
                <w14:ligatures w14:val="none"/>
              </w:rPr>
              <w:t>Khoản 8 Điều 10 Nghị quyết số 198/2025/QH15 ngày 17/5/2025 của Quốc hội về một số cơ chế, chính sách đặc biệt phát triển kinh tế tư nhân quy định: “Miễn thu phí, lệ phí cho tổ chức, cá nhân, doanh nghiệp đối với các loại giấy tờ nếu phải cấp lại, cấp đổi khi thực hiện sắp xếp, tổ chức lại bộ máy nhà nước theo quy định của pháp luật.”</w:t>
            </w:r>
          </w:p>
          <w:p w14:paraId="6EBB0E13" w14:textId="6DC37B90" w:rsidR="00F435AF"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6073F">
              <w:rPr>
                <w:rFonts w:ascii="Times New Roman" w:eastAsia="Times New Roman" w:hAnsi="Times New Roman" w:cs="Times New Roman"/>
                <w:color w:val="000000"/>
                <w:kern w:val="0"/>
                <w:sz w:val="20"/>
                <w:szCs w:val="20"/>
                <w:lang w:val="vi-VN"/>
                <w14:ligatures w14:val="none"/>
              </w:rPr>
              <w:t>Như vậy, tại Luật Phí và lệ phí và Nghị quyết số 198/2025/QH15 đã có quy định về miễn, giảm phí, lệ phí, trong đó có quy định về miễn phí, lệ phí khi thực hiện chuyển đổi các loại giấy tờ có liên quan của các tổ chức, các nhân và doanh nghiệp, đề nghị địa phương nghiên cứu thực hiện theo quy định.</w:t>
            </w:r>
          </w:p>
        </w:tc>
      </w:tr>
      <w:tr w:rsidR="00F435AF" w:rsidRPr="00636D4C" w14:paraId="6113373E" w14:textId="1917D2A2" w:rsidTr="00982689">
        <w:trPr>
          <w:trHeight w:val="525"/>
        </w:trPr>
        <w:tc>
          <w:tcPr>
            <w:tcW w:w="720" w:type="dxa"/>
            <w:shd w:val="clear" w:color="auto" w:fill="auto"/>
            <w:vAlign w:val="center"/>
          </w:tcPr>
          <w:p w14:paraId="7DB73E4E" w14:textId="4F0B727F" w:rsidR="00F435AF" w:rsidRPr="003077F6" w:rsidRDefault="00F435AF" w:rsidP="00982689">
            <w:pPr>
              <w:spacing w:after="0" w:line="240" w:lineRule="auto"/>
              <w:jc w:val="center"/>
              <w:rPr>
                <w:rFonts w:ascii="Times New Roman" w:eastAsia="Times New Roman" w:hAnsi="Times New Roman" w:cs="Times New Roman"/>
                <w:color w:val="000000"/>
                <w:kern w:val="0"/>
                <w:sz w:val="20"/>
                <w:szCs w:val="20"/>
                <w:lang w:val="vi-VN"/>
                <w14:ligatures w14:val="none"/>
              </w:rPr>
            </w:pPr>
            <w:r w:rsidRPr="003077F6">
              <w:rPr>
                <w:rFonts w:ascii="Times New Roman" w:hAnsi="Times New Roman" w:cs="Times New Roman"/>
                <w:sz w:val="20"/>
                <w:szCs w:val="20"/>
              </w:rPr>
              <w:lastRenderedPageBreak/>
              <w:t>70</w:t>
            </w:r>
          </w:p>
        </w:tc>
        <w:tc>
          <w:tcPr>
            <w:tcW w:w="1350" w:type="dxa"/>
            <w:shd w:val="clear" w:color="auto" w:fill="auto"/>
            <w:vAlign w:val="center"/>
            <w:hideMark/>
          </w:tcPr>
          <w:p w14:paraId="79DE22FB" w14:textId="3ACA15A9" w:rsidR="00F435AF" w:rsidRPr="00DD7D32" w:rsidRDefault="00F435AF" w:rsidP="00F435AF">
            <w:pPr>
              <w:spacing w:after="0" w:line="240" w:lineRule="auto"/>
              <w:jc w:val="center"/>
              <w:rPr>
                <w:rFonts w:ascii="Times New Roman" w:eastAsia="Times New Roman" w:hAnsi="Times New Roman" w:cs="Times New Roman"/>
                <w:b/>
                <w:bCs/>
                <w:color w:val="000000"/>
                <w:kern w:val="0"/>
                <w:sz w:val="20"/>
                <w:szCs w:val="20"/>
                <w14:ligatures w14:val="none"/>
              </w:rPr>
            </w:pPr>
            <w:r w:rsidRPr="00DD7D32">
              <w:rPr>
                <w:rFonts w:ascii="Times New Roman" w:eastAsia="Times New Roman" w:hAnsi="Times New Roman" w:cs="Times New Roman"/>
                <w:b/>
                <w:bCs/>
                <w:color w:val="000000"/>
                <w:kern w:val="0"/>
                <w:sz w:val="20"/>
                <w:szCs w:val="20"/>
                <w14:ligatures w14:val="none"/>
              </w:rPr>
              <w:t>Kiên Giang</w:t>
            </w:r>
          </w:p>
        </w:tc>
        <w:tc>
          <w:tcPr>
            <w:tcW w:w="6480" w:type="dxa"/>
            <w:shd w:val="clear" w:color="auto" w:fill="auto"/>
            <w:vAlign w:val="center"/>
            <w:hideMark/>
          </w:tcPr>
          <w:p w14:paraId="59F0DF8F" w14:textId="77777777" w:rsidR="00F435AF" w:rsidRPr="00DD7D32" w:rsidRDefault="00F435AF" w:rsidP="00F435AF">
            <w:pPr>
              <w:spacing w:after="0" w:line="240" w:lineRule="auto"/>
              <w:jc w:val="both"/>
              <w:rPr>
                <w:rFonts w:ascii="Times New Roman" w:eastAsia="Times New Roman" w:hAnsi="Times New Roman" w:cs="Times New Roman"/>
                <w:color w:val="000000"/>
                <w:kern w:val="0"/>
                <w:sz w:val="20"/>
                <w:szCs w:val="20"/>
                <w14:ligatures w14:val="none"/>
              </w:rPr>
            </w:pPr>
            <w:r w:rsidRPr="00DD7D32">
              <w:rPr>
                <w:rFonts w:ascii="Times New Roman" w:eastAsia="Times New Roman" w:hAnsi="Times New Roman" w:cs="Times New Roman"/>
                <w:color w:val="000000"/>
                <w:kern w:val="0"/>
                <w:sz w:val="20"/>
                <w:szCs w:val="20"/>
                <w14:ligatures w14:val="none"/>
              </w:rPr>
              <w:t>Kiến nghị Bộ Tài chính bố trí và hỗ trợ nguồn kinh phí để tỉnh đầu tư sửa chữa, cải tạo, nâng cấp các trụ sở làm việc, đảm bảo điều kiện hoạt động của đơn vị hành chính sau sắp xếp phù hợp với quy hoạch và điều kiện thực tế của địa phương</w:t>
            </w:r>
          </w:p>
        </w:tc>
        <w:tc>
          <w:tcPr>
            <w:tcW w:w="7560" w:type="dxa"/>
            <w:vAlign w:val="center"/>
          </w:tcPr>
          <w:p w14:paraId="41F861B3" w14:textId="0C4C9F0A" w:rsidR="00F435AF" w:rsidRPr="00802623" w:rsidRDefault="00F435AF" w:rsidP="00F435AF">
            <w:pPr>
              <w:spacing w:after="40" w:line="240" w:lineRule="auto"/>
              <w:jc w:val="both"/>
              <w:rPr>
                <w:rFonts w:ascii="Times New Roman" w:eastAsia="Times New Roman" w:hAnsi="Times New Roman" w:cs="Times New Roman"/>
                <w:color w:val="000000"/>
                <w:kern w:val="0"/>
                <w:sz w:val="20"/>
                <w:szCs w:val="20"/>
                <w:lang w:val="vi-VN"/>
                <w14:ligatures w14:val="none"/>
              </w:rPr>
            </w:pPr>
            <w:r w:rsidRPr="00372507">
              <w:rPr>
                <w:rFonts w:ascii="Times New Roman" w:eastAsia="Times New Roman" w:hAnsi="Times New Roman" w:cs="Times New Roman"/>
                <w:color w:val="000000"/>
                <w:kern w:val="0"/>
                <w:sz w:val="20"/>
                <w:szCs w:val="20"/>
                <w:lang w:val="vi-VN"/>
                <w14:ligatures w14:val="none"/>
              </w:rPr>
              <w:t>Đề nghị các địa phương căn cứ Công điện số 95/CĐ-TTg ngày 22/6/2025 của Thủ tướng Chính phủ về việc đảm bảo cơ sở, vật chất cho các cơ quan, tổ chức đơn vị của Nhà nước khi thực hiện sắp xếp, tinh gọn bộ máy, sắp xếp ĐVHC xây dựng mô hình CQĐP 02 cấp để triển khai thực hiện. Trường hợp khó khăn về nguồn kinh phí thì đề nghị các địa phương rà soát, báo cáo theo đúng chỉ đạo của Thủ tướng Chính phủ tại Công điện số 95/CĐ-TTg. Trước mắt, đề nghị Tỉnh sử dụng nguồn NSTW đã bổ sung (Quyết định số 1353/QĐ-TTg ngày 25/6/2025 của Thủ tướng Chính phủ về việc bổ sung có mục tiêu từ ngân sách trung ương cho các địa phương để hỗ trợ kinh phí sắp xếp đơn vị hành chính cấp tỉnh, cấp xã), chủ đồng sử dụng nguồn NSĐP và các nguồn tài chính hợp pháp khác để thực hiện.</w:t>
            </w:r>
          </w:p>
        </w:tc>
      </w:tr>
    </w:tbl>
    <w:p w14:paraId="4AAED63C" w14:textId="77777777" w:rsidR="00E008B2" w:rsidRPr="00E008B2" w:rsidRDefault="00E008B2" w:rsidP="00DD7D32">
      <w:pPr>
        <w:ind w:right="-22"/>
        <w:jc w:val="center"/>
        <w:rPr>
          <w:lang w:val="vi-VN"/>
        </w:rPr>
      </w:pPr>
    </w:p>
    <w:sectPr w:rsidR="00E008B2" w:rsidRPr="00E008B2" w:rsidSect="00F95F36">
      <w:headerReference w:type="even" r:id="rId9"/>
      <w:headerReference w:type="default" r:id="rId10"/>
      <w:type w:val="continuous"/>
      <w:pgSz w:w="16834" w:h="11894" w:orient="landscape"/>
      <w:pgMar w:top="1138" w:right="1138" w:bottom="1699" w:left="1138"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2953E" w14:textId="77777777" w:rsidR="009C7B9A" w:rsidRDefault="009C7B9A" w:rsidP="00B35B6E">
      <w:pPr>
        <w:spacing w:after="0" w:line="240" w:lineRule="auto"/>
      </w:pPr>
      <w:r>
        <w:separator/>
      </w:r>
    </w:p>
  </w:endnote>
  <w:endnote w:type="continuationSeparator" w:id="0">
    <w:p w14:paraId="2D942328" w14:textId="77777777" w:rsidR="009C7B9A" w:rsidRDefault="009C7B9A" w:rsidP="00B35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quot;Times New Roman&quot;">
    <w:altName w:val="Cambria"/>
    <w:panose1 w:val="020B0604020202020204"/>
    <w:charset w:val="00"/>
    <w:family w:val="roman"/>
    <w:notTrueType/>
    <w:pitch w:val="default"/>
  </w:font>
  <w:font w:name="'Times New Roman'">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0237E" w14:textId="77777777" w:rsidR="009C7B9A" w:rsidRDefault="009C7B9A" w:rsidP="00B35B6E">
      <w:pPr>
        <w:spacing w:after="0" w:line="240" w:lineRule="auto"/>
      </w:pPr>
      <w:r>
        <w:separator/>
      </w:r>
    </w:p>
  </w:footnote>
  <w:footnote w:type="continuationSeparator" w:id="0">
    <w:p w14:paraId="53B272D1" w14:textId="77777777" w:rsidR="009C7B9A" w:rsidRDefault="009C7B9A" w:rsidP="00B35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9495745"/>
      <w:docPartObj>
        <w:docPartGallery w:val="Page Numbers (Top of Page)"/>
        <w:docPartUnique/>
      </w:docPartObj>
    </w:sdtPr>
    <w:sdtContent>
      <w:p w14:paraId="7EBDB2F4" w14:textId="3179A9CA" w:rsidR="000D3C15" w:rsidRDefault="000D3C15" w:rsidP="00F95F36">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D71CDA" w14:textId="77777777" w:rsidR="000D3C15" w:rsidRDefault="000D3C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954326886"/>
      <w:docPartObj>
        <w:docPartGallery w:val="Page Numbers (Top of Page)"/>
        <w:docPartUnique/>
      </w:docPartObj>
    </w:sdtPr>
    <w:sdtContent>
      <w:p w14:paraId="2A873ED6" w14:textId="3BBAF147" w:rsidR="00F95F36" w:rsidRPr="005B00E9" w:rsidRDefault="00F95F36" w:rsidP="00BB61B3">
        <w:pPr>
          <w:pStyle w:val="Header"/>
          <w:framePr w:wrap="none" w:vAnchor="text" w:hAnchor="margin" w:xAlign="center" w:y="1"/>
          <w:rPr>
            <w:rStyle w:val="PageNumber"/>
            <w:rFonts w:ascii="Times New Roman" w:hAnsi="Times New Roman" w:cs="Times New Roman"/>
          </w:rPr>
        </w:pPr>
        <w:r w:rsidRPr="005B00E9">
          <w:rPr>
            <w:rStyle w:val="PageNumber"/>
            <w:rFonts w:ascii="Times New Roman" w:hAnsi="Times New Roman" w:cs="Times New Roman"/>
          </w:rPr>
          <w:fldChar w:fldCharType="begin"/>
        </w:r>
        <w:r w:rsidRPr="005B00E9">
          <w:rPr>
            <w:rStyle w:val="PageNumber"/>
            <w:rFonts w:ascii="Times New Roman" w:hAnsi="Times New Roman" w:cs="Times New Roman"/>
          </w:rPr>
          <w:instrText xml:space="preserve"> PAGE </w:instrText>
        </w:r>
        <w:r w:rsidRPr="005B00E9">
          <w:rPr>
            <w:rStyle w:val="PageNumber"/>
            <w:rFonts w:ascii="Times New Roman" w:hAnsi="Times New Roman" w:cs="Times New Roman"/>
          </w:rPr>
          <w:fldChar w:fldCharType="separate"/>
        </w:r>
        <w:r w:rsidRPr="005B00E9">
          <w:rPr>
            <w:rStyle w:val="PageNumber"/>
            <w:rFonts w:ascii="Times New Roman" w:hAnsi="Times New Roman" w:cs="Times New Roman"/>
            <w:noProof/>
          </w:rPr>
          <w:t>3</w:t>
        </w:r>
        <w:r w:rsidRPr="005B00E9">
          <w:rPr>
            <w:rStyle w:val="PageNumber"/>
            <w:rFonts w:ascii="Times New Roman" w:hAnsi="Times New Roman" w:cs="Times New Roman"/>
          </w:rPr>
          <w:fldChar w:fldCharType="end"/>
        </w:r>
      </w:p>
    </w:sdtContent>
  </w:sdt>
  <w:p w14:paraId="23FB0429" w14:textId="04C8643B" w:rsidR="008325CA" w:rsidRPr="000D3C15" w:rsidRDefault="008325CA" w:rsidP="00D173BC">
    <w:pPr>
      <w:pStyle w:val="Header"/>
      <w:jc w:val="center"/>
      <w:rPr>
        <w:rFonts w:ascii="Times New Roman" w:hAnsi="Times New Roman" w:cs="Times New Roman"/>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B7A2D"/>
    <w:multiLevelType w:val="hybridMultilevel"/>
    <w:tmpl w:val="71B00F78"/>
    <w:lvl w:ilvl="0" w:tplc="65C24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3D47FF"/>
    <w:multiLevelType w:val="hybridMultilevel"/>
    <w:tmpl w:val="F5C8A41A"/>
    <w:lvl w:ilvl="0" w:tplc="5B16B3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B66A2E"/>
    <w:multiLevelType w:val="hybridMultilevel"/>
    <w:tmpl w:val="B85ADFEC"/>
    <w:lvl w:ilvl="0" w:tplc="14B4AE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1D4712"/>
    <w:multiLevelType w:val="hybridMultilevel"/>
    <w:tmpl w:val="7F2EA6E4"/>
    <w:lvl w:ilvl="0" w:tplc="DCE838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7C4250"/>
    <w:multiLevelType w:val="hybridMultilevel"/>
    <w:tmpl w:val="E2A8CD08"/>
    <w:lvl w:ilvl="0" w:tplc="5C3E1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8B47450"/>
    <w:multiLevelType w:val="hybridMultilevel"/>
    <w:tmpl w:val="412E02E4"/>
    <w:lvl w:ilvl="0" w:tplc="27B6E64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D626947"/>
    <w:multiLevelType w:val="hybridMultilevel"/>
    <w:tmpl w:val="B4A6B2BE"/>
    <w:lvl w:ilvl="0" w:tplc="2FD217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7393666">
    <w:abstractNumId w:val="0"/>
  </w:num>
  <w:num w:numId="2" w16cid:durableId="1470398329">
    <w:abstractNumId w:val="3"/>
  </w:num>
  <w:num w:numId="3" w16cid:durableId="1637681890">
    <w:abstractNumId w:val="6"/>
  </w:num>
  <w:num w:numId="4" w16cid:durableId="1578441373">
    <w:abstractNumId w:val="5"/>
  </w:num>
  <w:num w:numId="5" w16cid:durableId="1007370090">
    <w:abstractNumId w:val="1"/>
  </w:num>
  <w:num w:numId="6" w16cid:durableId="1564441227">
    <w:abstractNumId w:val="2"/>
  </w:num>
  <w:num w:numId="7" w16cid:durableId="1128739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E72"/>
    <w:rsid w:val="000018F2"/>
    <w:rsid w:val="00002E8B"/>
    <w:rsid w:val="00003D9F"/>
    <w:rsid w:val="000041BC"/>
    <w:rsid w:val="00005D5F"/>
    <w:rsid w:val="00006CD6"/>
    <w:rsid w:val="00006D24"/>
    <w:rsid w:val="00014054"/>
    <w:rsid w:val="00014D81"/>
    <w:rsid w:val="00014FD6"/>
    <w:rsid w:val="000162A8"/>
    <w:rsid w:val="00022DC5"/>
    <w:rsid w:val="00022E5F"/>
    <w:rsid w:val="00023F56"/>
    <w:rsid w:val="000245A6"/>
    <w:rsid w:val="000259B7"/>
    <w:rsid w:val="0002780C"/>
    <w:rsid w:val="0002792E"/>
    <w:rsid w:val="00027F0D"/>
    <w:rsid w:val="000307A2"/>
    <w:rsid w:val="00030B8E"/>
    <w:rsid w:val="000320F5"/>
    <w:rsid w:val="00032F73"/>
    <w:rsid w:val="00033FD9"/>
    <w:rsid w:val="00034168"/>
    <w:rsid w:val="000357D2"/>
    <w:rsid w:val="00035DB9"/>
    <w:rsid w:val="000367C5"/>
    <w:rsid w:val="00036825"/>
    <w:rsid w:val="000372A4"/>
    <w:rsid w:val="00040734"/>
    <w:rsid w:val="00040851"/>
    <w:rsid w:val="000422DD"/>
    <w:rsid w:val="000423B3"/>
    <w:rsid w:val="00042DFD"/>
    <w:rsid w:val="000431CD"/>
    <w:rsid w:val="000442BC"/>
    <w:rsid w:val="000448A1"/>
    <w:rsid w:val="0004549D"/>
    <w:rsid w:val="0004695D"/>
    <w:rsid w:val="000478DC"/>
    <w:rsid w:val="0005022B"/>
    <w:rsid w:val="00050762"/>
    <w:rsid w:val="00050A3A"/>
    <w:rsid w:val="000538A6"/>
    <w:rsid w:val="000539D3"/>
    <w:rsid w:val="00054DF8"/>
    <w:rsid w:val="00054E8C"/>
    <w:rsid w:val="00057CC6"/>
    <w:rsid w:val="00057FE5"/>
    <w:rsid w:val="000628AF"/>
    <w:rsid w:val="0006297C"/>
    <w:rsid w:val="000654E8"/>
    <w:rsid w:val="0006744A"/>
    <w:rsid w:val="000674B7"/>
    <w:rsid w:val="000709A0"/>
    <w:rsid w:val="00070E72"/>
    <w:rsid w:val="000720E9"/>
    <w:rsid w:val="0007274D"/>
    <w:rsid w:val="000734FB"/>
    <w:rsid w:val="00073B0B"/>
    <w:rsid w:val="00077435"/>
    <w:rsid w:val="00077760"/>
    <w:rsid w:val="00082AFC"/>
    <w:rsid w:val="00082E24"/>
    <w:rsid w:val="00087B2B"/>
    <w:rsid w:val="00087D52"/>
    <w:rsid w:val="0009045A"/>
    <w:rsid w:val="00090526"/>
    <w:rsid w:val="00090CA5"/>
    <w:rsid w:val="00091158"/>
    <w:rsid w:val="00092380"/>
    <w:rsid w:val="00096A96"/>
    <w:rsid w:val="00096B93"/>
    <w:rsid w:val="00097CA5"/>
    <w:rsid w:val="000A2F76"/>
    <w:rsid w:val="000A4E55"/>
    <w:rsid w:val="000A5F41"/>
    <w:rsid w:val="000A60F8"/>
    <w:rsid w:val="000A7172"/>
    <w:rsid w:val="000B3646"/>
    <w:rsid w:val="000B6E31"/>
    <w:rsid w:val="000B7FE0"/>
    <w:rsid w:val="000C0125"/>
    <w:rsid w:val="000C04DE"/>
    <w:rsid w:val="000C0C20"/>
    <w:rsid w:val="000C218B"/>
    <w:rsid w:val="000C5879"/>
    <w:rsid w:val="000C663A"/>
    <w:rsid w:val="000D2B50"/>
    <w:rsid w:val="000D3C15"/>
    <w:rsid w:val="000D43F2"/>
    <w:rsid w:val="000D7D57"/>
    <w:rsid w:val="000E1759"/>
    <w:rsid w:val="000E1FD7"/>
    <w:rsid w:val="000E2594"/>
    <w:rsid w:val="000E2DA2"/>
    <w:rsid w:val="000E30C5"/>
    <w:rsid w:val="000E4481"/>
    <w:rsid w:val="000E5472"/>
    <w:rsid w:val="000E602D"/>
    <w:rsid w:val="000E623F"/>
    <w:rsid w:val="000E7903"/>
    <w:rsid w:val="000F0AE3"/>
    <w:rsid w:val="000F1A37"/>
    <w:rsid w:val="000F27F5"/>
    <w:rsid w:val="000F2C4B"/>
    <w:rsid w:val="000F3034"/>
    <w:rsid w:val="000F34B2"/>
    <w:rsid w:val="000F3F21"/>
    <w:rsid w:val="000F5756"/>
    <w:rsid w:val="000F6CD1"/>
    <w:rsid w:val="000F7127"/>
    <w:rsid w:val="000F7BE3"/>
    <w:rsid w:val="00101716"/>
    <w:rsid w:val="0010413F"/>
    <w:rsid w:val="00104D0A"/>
    <w:rsid w:val="00106EE9"/>
    <w:rsid w:val="00110929"/>
    <w:rsid w:val="0011123C"/>
    <w:rsid w:val="0011669D"/>
    <w:rsid w:val="00120354"/>
    <w:rsid w:val="00121371"/>
    <w:rsid w:val="00121828"/>
    <w:rsid w:val="00121BA7"/>
    <w:rsid w:val="00122CDC"/>
    <w:rsid w:val="00124FC1"/>
    <w:rsid w:val="00127CD5"/>
    <w:rsid w:val="001316CD"/>
    <w:rsid w:val="001318A7"/>
    <w:rsid w:val="001324DD"/>
    <w:rsid w:val="00132D7B"/>
    <w:rsid w:val="001350B5"/>
    <w:rsid w:val="0013760D"/>
    <w:rsid w:val="00140C01"/>
    <w:rsid w:val="001429B7"/>
    <w:rsid w:val="001453D8"/>
    <w:rsid w:val="00145E51"/>
    <w:rsid w:val="00147C15"/>
    <w:rsid w:val="00150183"/>
    <w:rsid w:val="0015189D"/>
    <w:rsid w:val="00152CD5"/>
    <w:rsid w:val="001539AB"/>
    <w:rsid w:val="00153D6A"/>
    <w:rsid w:val="00153F9A"/>
    <w:rsid w:val="001543A8"/>
    <w:rsid w:val="00154910"/>
    <w:rsid w:val="001556D9"/>
    <w:rsid w:val="00155B33"/>
    <w:rsid w:val="00156F8A"/>
    <w:rsid w:val="00160030"/>
    <w:rsid w:val="00160474"/>
    <w:rsid w:val="001604BC"/>
    <w:rsid w:val="00160768"/>
    <w:rsid w:val="00160F5A"/>
    <w:rsid w:val="001619C6"/>
    <w:rsid w:val="001626EF"/>
    <w:rsid w:val="00163AE7"/>
    <w:rsid w:val="001643B1"/>
    <w:rsid w:val="00165842"/>
    <w:rsid w:val="0016695A"/>
    <w:rsid w:val="00167704"/>
    <w:rsid w:val="001678CA"/>
    <w:rsid w:val="0016795B"/>
    <w:rsid w:val="00173CBB"/>
    <w:rsid w:val="001744C5"/>
    <w:rsid w:val="001747C6"/>
    <w:rsid w:val="00174A9B"/>
    <w:rsid w:val="00175600"/>
    <w:rsid w:val="00177509"/>
    <w:rsid w:val="0018042F"/>
    <w:rsid w:val="00181923"/>
    <w:rsid w:val="00181BEE"/>
    <w:rsid w:val="0018267E"/>
    <w:rsid w:val="00182BB1"/>
    <w:rsid w:val="001865AF"/>
    <w:rsid w:val="0018766B"/>
    <w:rsid w:val="001879E3"/>
    <w:rsid w:val="00190F8E"/>
    <w:rsid w:val="001918EB"/>
    <w:rsid w:val="00193DDC"/>
    <w:rsid w:val="00195E38"/>
    <w:rsid w:val="00196794"/>
    <w:rsid w:val="00196A64"/>
    <w:rsid w:val="00196EF1"/>
    <w:rsid w:val="001A0D64"/>
    <w:rsid w:val="001A1A59"/>
    <w:rsid w:val="001A2AD6"/>
    <w:rsid w:val="001A2EAB"/>
    <w:rsid w:val="001A3720"/>
    <w:rsid w:val="001A42AD"/>
    <w:rsid w:val="001A4ABA"/>
    <w:rsid w:val="001A5B77"/>
    <w:rsid w:val="001A66CF"/>
    <w:rsid w:val="001A7969"/>
    <w:rsid w:val="001A79B0"/>
    <w:rsid w:val="001B072C"/>
    <w:rsid w:val="001B1E35"/>
    <w:rsid w:val="001B2363"/>
    <w:rsid w:val="001B2869"/>
    <w:rsid w:val="001B3C1E"/>
    <w:rsid w:val="001B4F81"/>
    <w:rsid w:val="001B5883"/>
    <w:rsid w:val="001B5A83"/>
    <w:rsid w:val="001B65F5"/>
    <w:rsid w:val="001C0BEB"/>
    <w:rsid w:val="001C3634"/>
    <w:rsid w:val="001C5397"/>
    <w:rsid w:val="001D0FA4"/>
    <w:rsid w:val="001D2293"/>
    <w:rsid w:val="001D2DB2"/>
    <w:rsid w:val="001D3753"/>
    <w:rsid w:val="001D41C4"/>
    <w:rsid w:val="001D7064"/>
    <w:rsid w:val="001E021A"/>
    <w:rsid w:val="001E2F04"/>
    <w:rsid w:val="001E36C2"/>
    <w:rsid w:val="001E499A"/>
    <w:rsid w:val="001E5C3A"/>
    <w:rsid w:val="001E61AA"/>
    <w:rsid w:val="001E7939"/>
    <w:rsid w:val="001E799D"/>
    <w:rsid w:val="001E7ED9"/>
    <w:rsid w:val="001F0E98"/>
    <w:rsid w:val="001F1C4B"/>
    <w:rsid w:val="001F2D62"/>
    <w:rsid w:val="001F39B5"/>
    <w:rsid w:val="001F4661"/>
    <w:rsid w:val="001F6228"/>
    <w:rsid w:val="001F7693"/>
    <w:rsid w:val="002031F9"/>
    <w:rsid w:val="002041E9"/>
    <w:rsid w:val="00204318"/>
    <w:rsid w:val="002048D9"/>
    <w:rsid w:val="00205410"/>
    <w:rsid w:val="0020559A"/>
    <w:rsid w:val="00206060"/>
    <w:rsid w:val="0020799A"/>
    <w:rsid w:val="00210B58"/>
    <w:rsid w:val="0021418D"/>
    <w:rsid w:val="002143BC"/>
    <w:rsid w:val="002145C7"/>
    <w:rsid w:val="002167E2"/>
    <w:rsid w:val="00217145"/>
    <w:rsid w:val="00221CD4"/>
    <w:rsid w:val="00224320"/>
    <w:rsid w:val="0022448C"/>
    <w:rsid w:val="0022492E"/>
    <w:rsid w:val="0022523D"/>
    <w:rsid w:val="002260EC"/>
    <w:rsid w:val="00226893"/>
    <w:rsid w:val="00226A49"/>
    <w:rsid w:val="00231EAB"/>
    <w:rsid w:val="00234624"/>
    <w:rsid w:val="00235208"/>
    <w:rsid w:val="0023556C"/>
    <w:rsid w:val="0023664C"/>
    <w:rsid w:val="002374CF"/>
    <w:rsid w:val="002400B6"/>
    <w:rsid w:val="00242057"/>
    <w:rsid w:val="00242CA4"/>
    <w:rsid w:val="002518D0"/>
    <w:rsid w:val="002532E4"/>
    <w:rsid w:val="002536AA"/>
    <w:rsid w:val="00253969"/>
    <w:rsid w:val="002549C7"/>
    <w:rsid w:val="0026032E"/>
    <w:rsid w:val="0026034F"/>
    <w:rsid w:val="00261894"/>
    <w:rsid w:val="002618FF"/>
    <w:rsid w:val="00261A90"/>
    <w:rsid w:val="00261C01"/>
    <w:rsid w:val="00261FF0"/>
    <w:rsid w:val="00263C2C"/>
    <w:rsid w:val="00265F99"/>
    <w:rsid w:val="00266300"/>
    <w:rsid w:val="00266CE7"/>
    <w:rsid w:val="00267CEE"/>
    <w:rsid w:val="002702E7"/>
    <w:rsid w:val="00270F75"/>
    <w:rsid w:val="002713AE"/>
    <w:rsid w:val="00273A7C"/>
    <w:rsid w:val="00273B5A"/>
    <w:rsid w:val="0027496C"/>
    <w:rsid w:val="00275083"/>
    <w:rsid w:val="00276AC2"/>
    <w:rsid w:val="00276CB0"/>
    <w:rsid w:val="00276F36"/>
    <w:rsid w:val="002774ED"/>
    <w:rsid w:val="00277D92"/>
    <w:rsid w:val="002800BB"/>
    <w:rsid w:val="00280674"/>
    <w:rsid w:val="00282965"/>
    <w:rsid w:val="00284B4C"/>
    <w:rsid w:val="0028548E"/>
    <w:rsid w:val="00287C64"/>
    <w:rsid w:val="002914D1"/>
    <w:rsid w:val="0029173C"/>
    <w:rsid w:val="0029250B"/>
    <w:rsid w:val="002925D8"/>
    <w:rsid w:val="002972E9"/>
    <w:rsid w:val="002A1299"/>
    <w:rsid w:val="002A1A82"/>
    <w:rsid w:val="002A372D"/>
    <w:rsid w:val="002A4FE3"/>
    <w:rsid w:val="002B238B"/>
    <w:rsid w:val="002B247F"/>
    <w:rsid w:val="002B26EA"/>
    <w:rsid w:val="002B4774"/>
    <w:rsid w:val="002B4935"/>
    <w:rsid w:val="002B5687"/>
    <w:rsid w:val="002C04E5"/>
    <w:rsid w:val="002C10D5"/>
    <w:rsid w:val="002C221E"/>
    <w:rsid w:val="002C2238"/>
    <w:rsid w:val="002C5986"/>
    <w:rsid w:val="002C657F"/>
    <w:rsid w:val="002C6815"/>
    <w:rsid w:val="002C7E45"/>
    <w:rsid w:val="002D0073"/>
    <w:rsid w:val="002D04A3"/>
    <w:rsid w:val="002D44C1"/>
    <w:rsid w:val="002D6BD2"/>
    <w:rsid w:val="002D7882"/>
    <w:rsid w:val="002E0494"/>
    <w:rsid w:val="002E22FF"/>
    <w:rsid w:val="002E2305"/>
    <w:rsid w:val="002E2758"/>
    <w:rsid w:val="002E2CF1"/>
    <w:rsid w:val="002E5AF3"/>
    <w:rsid w:val="002E5DE8"/>
    <w:rsid w:val="002E6186"/>
    <w:rsid w:val="002E7514"/>
    <w:rsid w:val="002F0A83"/>
    <w:rsid w:val="002F7B14"/>
    <w:rsid w:val="003005C1"/>
    <w:rsid w:val="00302024"/>
    <w:rsid w:val="0030513D"/>
    <w:rsid w:val="0030706A"/>
    <w:rsid w:val="003077F6"/>
    <w:rsid w:val="003100C2"/>
    <w:rsid w:val="00310A15"/>
    <w:rsid w:val="00310B56"/>
    <w:rsid w:val="00311D0E"/>
    <w:rsid w:val="0031312B"/>
    <w:rsid w:val="00314E2C"/>
    <w:rsid w:val="00315454"/>
    <w:rsid w:val="00317990"/>
    <w:rsid w:val="003211FC"/>
    <w:rsid w:val="00321FF0"/>
    <w:rsid w:val="00322331"/>
    <w:rsid w:val="00325387"/>
    <w:rsid w:val="00326312"/>
    <w:rsid w:val="00330C7C"/>
    <w:rsid w:val="00331715"/>
    <w:rsid w:val="00332FC0"/>
    <w:rsid w:val="00340A8C"/>
    <w:rsid w:val="003432FC"/>
    <w:rsid w:val="00344974"/>
    <w:rsid w:val="00346EAD"/>
    <w:rsid w:val="00347E94"/>
    <w:rsid w:val="00354808"/>
    <w:rsid w:val="0035483D"/>
    <w:rsid w:val="003554B1"/>
    <w:rsid w:val="00357CAC"/>
    <w:rsid w:val="0036073F"/>
    <w:rsid w:val="00360F68"/>
    <w:rsid w:val="003611CD"/>
    <w:rsid w:val="0036171C"/>
    <w:rsid w:val="003629FD"/>
    <w:rsid w:val="003631CB"/>
    <w:rsid w:val="003634C7"/>
    <w:rsid w:val="00363DDD"/>
    <w:rsid w:val="00364531"/>
    <w:rsid w:val="00365410"/>
    <w:rsid w:val="0036568E"/>
    <w:rsid w:val="00365E73"/>
    <w:rsid w:val="003671F7"/>
    <w:rsid w:val="00370CEB"/>
    <w:rsid w:val="00371046"/>
    <w:rsid w:val="00372507"/>
    <w:rsid w:val="00373873"/>
    <w:rsid w:val="003743C8"/>
    <w:rsid w:val="00375FFE"/>
    <w:rsid w:val="00376575"/>
    <w:rsid w:val="00376E5E"/>
    <w:rsid w:val="00377278"/>
    <w:rsid w:val="00380DA3"/>
    <w:rsid w:val="00381C5C"/>
    <w:rsid w:val="00381C70"/>
    <w:rsid w:val="00382184"/>
    <w:rsid w:val="0038558E"/>
    <w:rsid w:val="003875C8"/>
    <w:rsid w:val="00390D24"/>
    <w:rsid w:val="00393442"/>
    <w:rsid w:val="00393FB5"/>
    <w:rsid w:val="00394228"/>
    <w:rsid w:val="003949C9"/>
    <w:rsid w:val="00395374"/>
    <w:rsid w:val="00395748"/>
    <w:rsid w:val="00395C48"/>
    <w:rsid w:val="003972CF"/>
    <w:rsid w:val="003A0612"/>
    <w:rsid w:val="003A1EAA"/>
    <w:rsid w:val="003A39E2"/>
    <w:rsid w:val="003A54C5"/>
    <w:rsid w:val="003A59C4"/>
    <w:rsid w:val="003A7FCC"/>
    <w:rsid w:val="003B04DC"/>
    <w:rsid w:val="003B1E43"/>
    <w:rsid w:val="003B2750"/>
    <w:rsid w:val="003B4441"/>
    <w:rsid w:val="003B4A91"/>
    <w:rsid w:val="003B50C9"/>
    <w:rsid w:val="003B6E4D"/>
    <w:rsid w:val="003C0318"/>
    <w:rsid w:val="003C2180"/>
    <w:rsid w:val="003C3305"/>
    <w:rsid w:val="003C36D8"/>
    <w:rsid w:val="003C53C8"/>
    <w:rsid w:val="003C53E4"/>
    <w:rsid w:val="003C590C"/>
    <w:rsid w:val="003C6F2F"/>
    <w:rsid w:val="003D0E38"/>
    <w:rsid w:val="003D2081"/>
    <w:rsid w:val="003D5704"/>
    <w:rsid w:val="003D6247"/>
    <w:rsid w:val="003D6F53"/>
    <w:rsid w:val="003D7A12"/>
    <w:rsid w:val="003D7E12"/>
    <w:rsid w:val="003E09EA"/>
    <w:rsid w:val="003E39BF"/>
    <w:rsid w:val="003E4156"/>
    <w:rsid w:val="003E46B5"/>
    <w:rsid w:val="003E6349"/>
    <w:rsid w:val="003E6B28"/>
    <w:rsid w:val="003E6CA1"/>
    <w:rsid w:val="003E6E0A"/>
    <w:rsid w:val="003F0D74"/>
    <w:rsid w:val="003F4EB6"/>
    <w:rsid w:val="003F63A8"/>
    <w:rsid w:val="00400649"/>
    <w:rsid w:val="0040439F"/>
    <w:rsid w:val="004102F6"/>
    <w:rsid w:val="00410E9D"/>
    <w:rsid w:val="00412492"/>
    <w:rsid w:val="004128CF"/>
    <w:rsid w:val="004131CA"/>
    <w:rsid w:val="00413501"/>
    <w:rsid w:val="004146C7"/>
    <w:rsid w:val="00414F2F"/>
    <w:rsid w:val="004171DD"/>
    <w:rsid w:val="004175FE"/>
    <w:rsid w:val="004208B7"/>
    <w:rsid w:val="00420977"/>
    <w:rsid w:val="00421B9D"/>
    <w:rsid w:val="0042243E"/>
    <w:rsid w:val="004234FC"/>
    <w:rsid w:val="00423848"/>
    <w:rsid w:val="00425658"/>
    <w:rsid w:val="004271AF"/>
    <w:rsid w:val="00427339"/>
    <w:rsid w:val="00427695"/>
    <w:rsid w:val="00427762"/>
    <w:rsid w:val="00430F09"/>
    <w:rsid w:val="00431750"/>
    <w:rsid w:val="004334EF"/>
    <w:rsid w:val="00433E05"/>
    <w:rsid w:val="00435A77"/>
    <w:rsid w:val="00435BC0"/>
    <w:rsid w:val="00436875"/>
    <w:rsid w:val="004368D0"/>
    <w:rsid w:val="0044135A"/>
    <w:rsid w:val="0044152C"/>
    <w:rsid w:val="00443CBB"/>
    <w:rsid w:val="00444EF0"/>
    <w:rsid w:val="00446982"/>
    <w:rsid w:val="004503C3"/>
    <w:rsid w:val="004515D5"/>
    <w:rsid w:val="00452811"/>
    <w:rsid w:val="00454179"/>
    <w:rsid w:val="0045497E"/>
    <w:rsid w:val="00454B53"/>
    <w:rsid w:val="00455A40"/>
    <w:rsid w:val="00455F64"/>
    <w:rsid w:val="0045692C"/>
    <w:rsid w:val="00457D07"/>
    <w:rsid w:val="00461F2B"/>
    <w:rsid w:val="004650E1"/>
    <w:rsid w:val="00465A9E"/>
    <w:rsid w:val="00470623"/>
    <w:rsid w:val="00470762"/>
    <w:rsid w:val="00472B50"/>
    <w:rsid w:val="00472BC3"/>
    <w:rsid w:val="00475B55"/>
    <w:rsid w:val="0047724B"/>
    <w:rsid w:val="00481E88"/>
    <w:rsid w:val="00481E8D"/>
    <w:rsid w:val="00485F6A"/>
    <w:rsid w:val="00490258"/>
    <w:rsid w:val="00492FA4"/>
    <w:rsid w:val="0049468D"/>
    <w:rsid w:val="00494F6F"/>
    <w:rsid w:val="004A0B64"/>
    <w:rsid w:val="004A1511"/>
    <w:rsid w:val="004A2C62"/>
    <w:rsid w:val="004B0615"/>
    <w:rsid w:val="004B0A0E"/>
    <w:rsid w:val="004B0B1F"/>
    <w:rsid w:val="004B10E2"/>
    <w:rsid w:val="004B1D3E"/>
    <w:rsid w:val="004B33F6"/>
    <w:rsid w:val="004B539E"/>
    <w:rsid w:val="004B60CC"/>
    <w:rsid w:val="004B6475"/>
    <w:rsid w:val="004B6840"/>
    <w:rsid w:val="004B6F55"/>
    <w:rsid w:val="004B72A6"/>
    <w:rsid w:val="004B7DF9"/>
    <w:rsid w:val="004C2201"/>
    <w:rsid w:val="004C274E"/>
    <w:rsid w:val="004C3E05"/>
    <w:rsid w:val="004C42E3"/>
    <w:rsid w:val="004C4328"/>
    <w:rsid w:val="004C4698"/>
    <w:rsid w:val="004C5E05"/>
    <w:rsid w:val="004C6BF1"/>
    <w:rsid w:val="004C7390"/>
    <w:rsid w:val="004C7601"/>
    <w:rsid w:val="004C7E77"/>
    <w:rsid w:val="004D0CB2"/>
    <w:rsid w:val="004D0F37"/>
    <w:rsid w:val="004D177A"/>
    <w:rsid w:val="004D309F"/>
    <w:rsid w:val="004D3336"/>
    <w:rsid w:val="004D38FD"/>
    <w:rsid w:val="004D475C"/>
    <w:rsid w:val="004D65EB"/>
    <w:rsid w:val="004D6692"/>
    <w:rsid w:val="004D6788"/>
    <w:rsid w:val="004D7AA5"/>
    <w:rsid w:val="004D7BCF"/>
    <w:rsid w:val="004E0A22"/>
    <w:rsid w:val="004E0BAB"/>
    <w:rsid w:val="004E1875"/>
    <w:rsid w:val="004E1F55"/>
    <w:rsid w:val="004E211D"/>
    <w:rsid w:val="004E2B48"/>
    <w:rsid w:val="004E421E"/>
    <w:rsid w:val="004E64D2"/>
    <w:rsid w:val="004E70E7"/>
    <w:rsid w:val="004E79EF"/>
    <w:rsid w:val="004F3363"/>
    <w:rsid w:val="004F46A2"/>
    <w:rsid w:val="004F7ACE"/>
    <w:rsid w:val="00500E48"/>
    <w:rsid w:val="00502009"/>
    <w:rsid w:val="00502A6F"/>
    <w:rsid w:val="00504804"/>
    <w:rsid w:val="00504CB2"/>
    <w:rsid w:val="00504F5D"/>
    <w:rsid w:val="005076F9"/>
    <w:rsid w:val="00507A6C"/>
    <w:rsid w:val="00511F1B"/>
    <w:rsid w:val="00512092"/>
    <w:rsid w:val="005143BC"/>
    <w:rsid w:val="00515B16"/>
    <w:rsid w:val="00521E14"/>
    <w:rsid w:val="00522B65"/>
    <w:rsid w:val="00522C4D"/>
    <w:rsid w:val="0052317E"/>
    <w:rsid w:val="005233A9"/>
    <w:rsid w:val="00523570"/>
    <w:rsid w:val="00524636"/>
    <w:rsid w:val="00526EC0"/>
    <w:rsid w:val="00527540"/>
    <w:rsid w:val="00530F24"/>
    <w:rsid w:val="0053184D"/>
    <w:rsid w:val="0053280C"/>
    <w:rsid w:val="00532D80"/>
    <w:rsid w:val="0053359D"/>
    <w:rsid w:val="00533ABB"/>
    <w:rsid w:val="0053438E"/>
    <w:rsid w:val="00535849"/>
    <w:rsid w:val="00537881"/>
    <w:rsid w:val="00542D3C"/>
    <w:rsid w:val="00543EDD"/>
    <w:rsid w:val="005442CC"/>
    <w:rsid w:val="005501C4"/>
    <w:rsid w:val="0055203E"/>
    <w:rsid w:val="00557112"/>
    <w:rsid w:val="0055770D"/>
    <w:rsid w:val="00560958"/>
    <w:rsid w:val="005614CB"/>
    <w:rsid w:val="0056332C"/>
    <w:rsid w:val="005654D6"/>
    <w:rsid w:val="005663A7"/>
    <w:rsid w:val="005728F8"/>
    <w:rsid w:val="00573EF7"/>
    <w:rsid w:val="00574D25"/>
    <w:rsid w:val="00575EA1"/>
    <w:rsid w:val="00582185"/>
    <w:rsid w:val="005822A9"/>
    <w:rsid w:val="005826E5"/>
    <w:rsid w:val="0058282E"/>
    <w:rsid w:val="005873C3"/>
    <w:rsid w:val="00587BCC"/>
    <w:rsid w:val="00590251"/>
    <w:rsid w:val="00591B53"/>
    <w:rsid w:val="00591D88"/>
    <w:rsid w:val="00593BB5"/>
    <w:rsid w:val="00594CF5"/>
    <w:rsid w:val="00594F21"/>
    <w:rsid w:val="005965D7"/>
    <w:rsid w:val="00596C22"/>
    <w:rsid w:val="00596F3A"/>
    <w:rsid w:val="005A0AC0"/>
    <w:rsid w:val="005A1597"/>
    <w:rsid w:val="005A20EF"/>
    <w:rsid w:val="005A38A6"/>
    <w:rsid w:val="005A4FB6"/>
    <w:rsid w:val="005A5028"/>
    <w:rsid w:val="005A5638"/>
    <w:rsid w:val="005A6192"/>
    <w:rsid w:val="005B00E9"/>
    <w:rsid w:val="005B14E3"/>
    <w:rsid w:val="005B2A33"/>
    <w:rsid w:val="005B47A1"/>
    <w:rsid w:val="005B538B"/>
    <w:rsid w:val="005C0107"/>
    <w:rsid w:val="005C16C8"/>
    <w:rsid w:val="005C4DDF"/>
    <w:rsid w:val="005C61CE"/>
    <w:rsid w:val="005C72BB"/>
    <w:rsid w:val="005C75B0"/>
    <w:rsid w:val="005D179E"/>
    <w:rsid w:val="005D2EEB"/>
    <w:rsid w:val="005D3D9D"/>
    <w:rsid w:val="005D45C4"/>
    <w:rsid w:val="005D46C1"/>
    <w:rsid w:val="005D5D1C"/>
    <w:rsid w:val="005D6920"/>
    <w:rsid w:val="005E1C04"/>
    <w:rsid w:val="005E1C91"/>
    <w:rsid w:val="005E44CA"/>
    <w:rsid w:val="005E7276"/>
    <w:rsid w:val="005F0EE7"/>
    <w:rsid w:val="005F27E7"/>
    <w:rsid w:val="005F59F2"/>
    <w:rsid w:val="005F5EB6"/>
    <w:rsid w:val="0060193A"/>
    <w:rsid w:val="00601BDE"/>
    <w:rsid w:val="00602416"/>
    <w:rsid w:val="00602467"/>
    <w:rsid w:val="00603DC4"/>
    <w:rsid w:val="00605B7A"/>
    <w:rsid w:val="0060688A"/>
    <w:rsid w:val="006072E5"/>
    <w:rsid w:val="00610084"/>
    <w:rsid w:val="006132EE"/>
    <w:rsid w:val="00615912"/>
    <w:rsid w:val="00616CF2"/>
    <w:rsid w:val="00617004"/>
    <w:rsid w:val="006175E7"/>
    <w:rsid w:val="006179B2"/>
    <w:rsid w:val="006224ED"/>
    <w:rsid w:val="006232E6"/>
    <w:rsid w:val="0062383E"/>
    <w:rsid w:val="00623E43"/>
    <w:rsid w:val="0062538E"/>
    <w:rsid w:val="006255C5"/>
    <w:rsid w:val="00627D03"/>
    <w:rsid w:val="00632BDB"/>
    <w:rsid w:val="00633E45"/>
    <w:rsid w:val="00636D4C"/>
    <w:rsid w:val="0063736C"/>
    <w:rsid w:val="0063740A"/>
    <w:rsid w:val="00642B10"/>
    <w:rsid w:val="00643A35"/>
    <w:rsid w:val="00643B25"/>
    <w:rsid w:val="00644995"/>
    <w:rsid w:val="00647D79"/>
    <w:rsid w:val="00650879"/>
    <w:rsid w:val="0065091D"/>
    <w:rsid w:val="00651A41"/>
    <w:rsid w:val="0065244C"/>
    <w:rsid w:val="00652495"/>
    <w:rsid w:val="006539D4"/>
    <w:rsid w:val="006561A1"/>
    <w:rsid w:val="006601A7"/>
    <w:rsid w:val="00661428"/>
    <w:rsid w:val="00661469"/>
    <w:rsid w:val="006641DC"/>
    <w:rsid w:val="00664E9C"/>
    <w:rsid w:val="006657CE"/>
    <w:rsid w:val="00666654"/>
    <w:rsid w:val="00666E2D"/>
    <w:rsid w:val="0067014D"/>
    <w:rsid w:val="00671F83"/>
    <w:rsid w:val="00675207"/>
    <w:rsid w:val="00675792"/>
    <w:rsid w:val="00676A70"/>
    <w:rsid w:val="00676B5D"/>
    <w:rsid w:val="0067786C"/>
    <w:rsid w:val="006779DA"/>
    <w:rsid w:val="00681C24"/>
    <w:rsid w:val="0068241D"/>
    <w:rsid w:val="00685337"/>
    <w:rsid w:val="006858B1"/>
    <w:rsid w:val="00685ADD"/>
    <w:rsid w:val="0068741E"/>
    <w:rsid w:val="00691DBC"/>
    <w:rsid w:val="00694643"/>
    <w:rsid w:val="00694CFD"/>
    <w:rsid w:val="00696AD4"/>
    <w:rsid w:val="00697AB1"/>
    <w:rsid w:val="006A15B4"/>
    <w:rsid w:val="006A39C2"/>
    <w:rsid w:val="006A5ED1"/>
    <w:rsid w:val="006A7B20"/>
    <w:rsid w:val="006B12D2"/>
    <w:rsid w:val="006B45D1"/>
    <w:rsid w:val="006B4FA1"/>
    <w:rsid w:val="006B6BA3"/>
    <w:rsid w:val="006B7B65"/>
    <w:rsid w:val="006C154C"/>
    <w:rsid w:val="006C2208"/>
    <w:rsid w:val="006C3453"/>
    <w:rsid w:val="006C3E8E"/>
    <w:rsid w:val="006C552F"/>
    <w:rsid w:val="006C65C1"/>
    <w:rsid w:val="006C6C06"/>
    <w:rsid w:val="006C71F8"/>
    <w:rsid w:val="006D2009"/>
    <w:rsid w:val="006D2982"/>
    <w:rsid w:val="006D2D95"/>
    <w:rsid w:val="006D55E4"/>
    <w:rsid w:val="006D61AE"/>
    <w:rsid w:val="006D6A33"/>
    <w:rsid w:val="006E1D13"/>
    <w:rsid w:val="006E247B"/>
    <w:rsid w:val="006E29EF"/>
    <w:rsid w:val="006E3BAE"/>
    <w:rsid w:val="006F1425"/>
    <w:rsid w:val="006F1A0A"/>
    <w:rsid w:val="006F33B6"/>
    <w:rsid w:val="006F341E"/>
    <w:rsid w:val="006F39FA"/>
    <w:rsid w:val="006F42AA"/>
    <w:rsid w:val="006F70A4"/>
    <w:rsid w:val="00700AD7"/>
    <w:rsid w:val="00700FAF"/>
    <w:rsid w:val="00701535"/>
    <w:rsid w:val="00702D5F"/>
    <w:rsid w:val="00703A72"/>
    <w:rsid w:val="00710F4B"/>
    <w:rsid w:val="00711079"/>
    <w:rsid w:val="00711E28"/>
    <w:rsid w:val="00712ECC"/>
    <w:rsid w:val="00713E55"/>
    <w:rsid w:val="00717CB2"/>
    <w:rsid w:val="00717FAE"/>
    <w:rsid w:val="00720E73"/>
    <w:rsid w:val="007231E9"/>
    <w:rsid w:val="0072334D"/>
    <w:rsid w:val="00723621"/>
    <w:rsid w:val="00724BC6"/>
    <w:rsid w:val="00724E80"/>
    <w:rsid w:val="007260B1"/>
    <w:rsid w:val="0072714C"/>
    <w:rsid w:val="00727241"/>
    <w:rsid w:val="00727C15"/>
    <w:rsid w:val="00731034"/>
    <w:rsid w:val="00732002"/>
    <w:rsid w:val="00733256"/>
    <w:rsid w:val="00737E76"/>
    <w:rsid w:val="00741AD1"/>
    <w:rsid w:val="00742CE7"/>
    <w:rsid w:val="00743D26"/>
    <w:rsid w:val="00743DA5"/>
    <w:rsid w:val="00744F7E"/>
    <w:rsid w:val="007502BB"/>
    <w:rsid w:val="00750745"/>
    <w:rsid w:val="00750E5C"/>
    <w:rsid w:val="00750F66"/>
    <w:rsid w:val="00751630"/>
    <w:rsid w:val="00754F81"/>
    <w:rsid w:val="007550E4"/>
    <w:rsid w:val="00756F19"/>
    <w:rsid w:val="00757703"/>
    <w:rsid w:val="00760189"/>
    <w:rsid w:val="00760365"/>
    <w:rsid w:val="00760B1F"/>
    <w:rsid w:val="007642ED"/>
    <w:rsid w:val="00764F98"/>
    <w:rsid w:val="00766440"/>
    <w:rsid w:val="00767152"/>
    <w:rsid w:val="00770E22"/>
    <w:rsid w:val="00771124"/>
    <w:rsid w:val="0077119C"/>
    <w:rsid w:val="00772940"/>
    <w:rsid w:val="00774271"/>
    <w:rsid w:val="00774D71"/>
    <w:rsid w:val="00775081"/>
    <w:rsid w:val="007750FF"/>
    <w:rsid w:val="00775F10"/>
    <w:rsid w:val="00776386"/>
    <w:rsid w:val="00776AAB"/>
    <w:rsid w:val="007831E3"/>
    <w:rsid w:val="00785085"/>
    <w:rsid w:val="0078690E"/>
    <w:rsid w:val="00787DF0"/>
    <w:rsid w:val="0079008F"/>
    <w:rsid w:val="00791B43"/>
    <w:rsid w:val="00792440"/>
    <w:rsid w:val="00793F2F"/>
    <w:rsid w:val="007954A3"/>
    <w:rsid w:val="007A10F3"/>
    <w:rsid w:val="007A34FC"/>
    <w:rsid w:val="007A415E"/>
    <w:rsid w:val="007A5591"/>
    <w:rsid w:val="007A56F1"/>
    <w:rsid w:val="007A5801"/>
    <w:rsid w:val="007B010B"/>
    <w:rsid w:val="007B0127"/>
    <w:rsid w:val="007B62CC"/>
    <w:rsid w:val="007B6A7E"/>
    <w:rsid w:val="007B7A2C"/>
    <w:rsid w:val="007C10D3"/>
    <w:rsid w:val="007C2146"/>
    <w:rsid w:val="007C2736"/>
    <w:rsid w:val="007C371B"/>
    <w:rsid w:val="007C431C"/>
    <w:rsid w:val="007C4D6B"/>
    <w:rsid w:val="007C5405"/>
    <w:rsid w:val="007C7171"/>
    <w:rsid w:val="007C72DE"/>
    <w:rsid w:val="007C7A66"/>
    <w:rsid w:val="007D0772"/>
    <w:rsid w:val="007D07BA"/>
    <w:rsid w:val="007D27E7"/>
    <w:rsid w:val="007D34A3"/>
    <w:rsid w:val="007D4A5C"/>
    <w:rsid w:val="007D6955"/>
    <w:rsid w:val="007D6F22"/>
    <w:rsid w:val="007E21E5"/>
    <w:rsid w:val="007E29DA"/>
    <w:rsid w:val="007E6B97"/>
    <w:rsid w:val="007E7357"/>
    <w:rsid w:val="007F1AEF"/>
    <w:rsid w:val="007F3239"/>
    <w:rsid w:val="007F44CD"/>
    <w:rsid w:val="007F638D"/>
    <w:rsid w:val="007F7ADD"/>
    <w:rsid w:val="00800176"/>
    <w:rsid w:val="00800933"/>
    <w:rsid w:val="0080201F"/>
    <w:rsid w:val="00802347"/>
    <w:rsid w:val="00802623"/>
    <w:rsid w:val="00802D2C"/>
    <w:rsid w:val="00803F14"/>
    <w:rsid w:val="00804F2A"/>
    <w:rsid w:val="0080545E"/>
    <w:rsid w:val="008062A3"/>
    <w:rsid w:val="00806EF4"/>
    <w:rsid w:val="00807784"/>
    <w:rsid w:val="0081071F"/>
    <w:rsid w:val="0081139B"/>
    <w:rsid w:val="008113B6"/>
    <w:rsid w:val="00811C62"/>
    <w:rsid w:val="00815B35"/>
    <w:rsid w:val="00816C98"/>
    <w:rsid w:val="00816D7A"/>
    <w:rsid w:val="0082303D"/>
    <w:rsid w:val="00823460"/>
    <w:rsid w:val="00823C59"/>
    <w:rsid w:val="00823FF1"/>
    <w:rsid w:val="00826099"/>
    <w:rsid w:val="008262EE"/>
    <w:rsid w:val="008273A9"/>
    <w:rsid w:val="008325CA"/>
    <w:rsid w:val="008325DA"/>
    <w:rsid w:val="00832A6A"/>
    <w:rsid w:val="0083313E"/>
    <w:rsid w:val="00834469"/>
    <w:rsid w:val="00834957"/>
    <w:rsid w:val="00835692"/>
    <w:rsid w:val="008364B0"/>
    <w:rsid w:val="00840B86"/>
    <w:rsid w:val="00846F7A"/>
    <w:rsid w:val="00847609"/>
    <w:rsid w:val="00847855"/>
    <w:rsid w:val="008509CB"/>
    <w:rsid w:val="008518E6"/>
    <w:rsid w:val="00855426"/>
    <w:rsid w:val="00856054"/>
    <w:rsid w:val="0085798A"/>
    <w:rsid w:val="0086043B"/>
    <w:rsid w:val="00860B36"/>
    <w:rsid w:val="00861853"/>
    <w:rsid w:val="00861D80"/>
    <w:rsid w:val="00862593"/>
    <w:rsid w:val="00863AB3"/>
    <w:rsid w:val="008644CB"/>
    <w:rsid w:val="00864668"/>
    <w:rsid w:val="0087293B"/>
    <w:rsid w:val="00873516"/>
    <w:rsid w:val="008736E0"/>
    <w:rsid w:val="00873F99"/>
    <w:rsid w:val="008750DC"/>
    <w:rsid w:val="00875257"/>
    <w:rsid w:val="008752E8"/>
    <w:rsid w:val="0088183D"/>
    <w:rsid w:val="00882184"/>
    <w:rsid w:val="00884D43"/>
    <w:rsid w:val="00890D73"/>
    <w:rsid w:val="00891871"/>
    <w:rsid w:val="00891C28"/>
    <w:rsid w:val="0089222E"/>
    <w:rsid w:val="00894623"/>
    <w:rsid w:val="00895408"/>
    <w:rsid w:val="00895614"/>
    <w:rsid w:val="00895839"/>
    <w:rsid w:val="008958F1"/>
    <w:rsid w:val="00895D35"/>
    <w:rsid w:val="008973ED"/>
    <w:rsid w:val="008A4DAD"/>
    <w:rsid w:val="008A4E20"/>
    <w:rsid w:val="008A62E9"/>
    <w:rsid w:val="008A7FE7"/>
    <w:rsid w:val="008B032B"/>
    <w:rsid w:val="008B203F"/>
    <w:rsid w:val="008B231F"/>
    <w:rsid w:val="008B257B"/>
    <w:rsid w:val="008B2A13"/>
    <w:rsid w:val="008B47AE"/>
    <w:rsid w:val="008C04D5"/>
    <w:rsid w:val="008C2FC3"/>
    <w:rsid w:val="008C4198"/>
    <w:rsid w:val="008C4873"/>
    <w:rsid w:val="008C4BBF"/>
    <w:rsid w:val="008C4E4E"/>
    <w:rsid w:val="008C547E"/>
    <w:rsid w:val="008C5C0D"/>
    <w:rsid w:val="008D10EE"/>
    <w:rsid w:val="008D214D"/>
    <w:rsid w:val="008D380E"/>
    <w:rsid w:val="008D6919"/>
    <w:rsid w:val="008D6CFF"/>
    <w:rsid w:val="008D7D6A"/>
    <w:rsid w:val="008E053F"/>
    <w:rsid w:val="008E2142"/>
    <w:rsid w:val="008E42DA"/>
    <w:rsid w:val="008E5563"/>
    <w:rsid w:val="008F2502"/>
    <w:rsid w:val="008F2F5A"/>
    <w:rsid w:val="008F5E44"/>
    <w:rsid w:val="008F66C9"/>
    <w:rsid w:val="008F6ED3"/>
    <w:rsid w:val="008F6FCB"/>
    <w:rsid w:val="008F7E05"/>
    <w:rsid w:val="0090145F"/>
    <w:rsid w:val="00902E03"/>
    <w:rsid w:val="00906711"/>
    <w:rsid w:val="009100B2"/>
    <w:rsid w:val="00911B97"/>
    <w:rsid w:val="009123A6"/>
    <w:rsid w:val="00915952"/>
    <w:rsid w:val="00916B24"/>
    <w:rsid w:val="0092417E"/>
    <w:rsid w:val="00924516"/>
    <w:rsid w:val="00924838"/>
    <w:rsid w:val="009253D5"/>
    <w:rsid w:val="00925471"/>
    <w:rsid w:val="00926FD1"/>
    <w:rsid w:val="009272E2"/>
    <w:rsid w:val="009274A7"/>
    <w:rsid w:val="00930458"/>
    <w:rsid w:val="00930FA8"/>
    <w:rsid w:val="00931C0F"/>
    <w:rsid w:val="00934309"/>
    <w:rsid w:val="00937C23"/>
    <w:rsid w:val="009400DF"/>
    <w:rsid w:val="009417E4"/>
    <w:rsid w:val="009420AF"/>
    <w:rsid w:val="009456F5"/>
    <w:rsid w:val="00945A4B"/>
    <w:rsid w:val="00945EBC"/>
    <w:rsid w:val="00946BD2"/>
    <w:rsid w:val="00947781"/>
    <w:rsid w:val="00951886"/>
    <w:rsid w:val="00951B0C"/>
    <w:rsid w:val="00955604"/>
    <w:rsid w:val="0096007B"/>
    <w:rsid w:val="0096119C"/>
    <w:rsid w:val="00964BD5"/>
    <w:rsid w:val="009652EC"/>
    <w:rsid w:val="0097030D"/>
    <w:rsid w:val="00971757"/>
    <w:rsid w:val="00971B4B"/>
    <w:rsid w:val="00974835"/>
    <w:rsid w:val="009755E4"/>
    <w:rsid w:val="009816E4"/>
    <w:rsid w:val="00981E24"/>
    <w:rsid w:val="00982556"/>
    <w:rsid w:val="00982689"/>
    <w:rsid w:val="009834B2"/>
    <w:rsid w:val="00984BBA"/>
    <w:rsid w:val="00986A6D"/>
    <w:rsid w:val="0099182E"/>
    <w:rsid w:val="00992F10"/>
    <w:rsid w:val="0099403B"/>
    <w:rsid w:val="00995B68"/>
    <w:rsid w:val="00995E35"/>
    <w:rsid w:val="009A00F7"/>
    <w:rsid w:val="009A11D2"/>
    <w:rsid w:val="009A24CA"/>
    <w:rsid w:val="009A523C"/>
    <w:rsid w:val="009A551C"/>
    <w:rsid w:val="009A64C5"/>
    <w:rsid w:val="009A6D01"/>
    <w:rsid w:val="009A7593"/>
    <w:rsid w:val="009B46EF"/>
    <w:rsid w:val="009B60E8"/>
    <w:rsid w:val="009C0543"/>
    <w:rsid w:val="009C2ED2"/>
    <w:rsid w:val="009C534A"/>
    <w:rsid w:val="009C55E4"/>
    <w:rsid w:val="009C761F"/>
    <w:rsid w:val="009C7B9A"/>
    <w:rsid w:val="009C7CCD"/>
    <w:rsid w:val="009C7EBE"/>
    <w:rsid w:val="009D0A7B"/>
    <w:rsid w:val="009D51C9"/>
    <w:rsid w:val="009D52FD"/>
    <w:rsid w:val="009D66C3"/>
    <w:rsid w:val="009D7BAC"/>
    <w:rsid w:val="009E08B0"/>
    <w:rsid w:val="009E0931"/>
    <w:rsid w:val="009E150D"/>
    <w:rsid w:val="009E31F4"/>
    <w:rsid w:val="009E7B9F"/>
    <w:rsid w:val="009F0238"/>
    <w:rsid w:val="009F22D7"/>
    <w:rsid w:val="009F29BB"/>
    <w:rsid w:val="009F3E58"/>
    <w:rsid w:val="009F4CA9"/>
    <w:rsid w:val="009F69C0"/>
    <w:rsid w:val="00A008DF"/>
    <w:rsid w:val="00A00C87"/>
    <w:rsid w:val="00A01921"/>
    <w:rsid w:val="00A06D32"/>
    <w:rsid w:val="00A14126"/>
    <w:rsid w:val="00A1415B"/>
    <w:rsid w:val="00A224A5"/>
    <w:rsid w:val="00A2366B"/>
    <w:rsid w:val="00A26655"/>
    <w:rsid w:val="00A26FE3"/>
    <w:rsid w:val="00A27D0A"/>
    <w:rsid w:val="00A30E64"/>
    <w:rsid w:val="00A31B00"/>
    <w:rsid w:val="00A34C03"/>
    <w:rsid w:val="00A34E35"/>
    <w:rsid w:val="00A3524F"/>
    <w:rsid w:val="00A35BC6"/>
    <w:rsid w:val="00A3778B"/>
    <w:rsid w:val="00A400FE"/>
    <w:rsid w:val="00A40B8B"/>
    <w:rsid w:val="00A410F9"/>
    <w:rsid w:val="00A4502A"/>
    <w:rsid w:val="00A45077"/>
    <w:rsid w:val="00A5213E"/>
    <w:rsid w:val="00A524D0"/>
    <w:rsid w:val="00A528E2"/>
    <w:rsid w:val="00A53142"/>
    <w:rsid w:val="00A5400F"/>
    <w:rsid w:val="00A5406B"/>
    <w:rsid w:val="00A543DE"/>
    <w:rsid w:val="00A5442D"/>
    <w:rsid w:val="00A55B44"/>
    <w:rsid w:val="00A569A2"/>
    <w:rsid w:val="00A570FB"/>
    <w:rsid w:val="00A60588"/>
    <w:rsid w:val="00A61D30"/>
    <w:rsid w:val="00A643DD"/>
    <w:rsid w:val="00A65F56"/>
    <w:rsid w:val="00A661EA"/>
    <w:rsid w:val="00A67CE5"/>
    <w:rsid w:val="00A707A7"/>
    <w:rsid w:val="00A75552"/>
    <w:rsid w:val="00A7605E"/>
    <w:rsid w:val="00A76B02"/>
    <w:rsid w:val="00A76B7F"/>
    <w:rsid w:val="00A809A3"/>
    <w:rsid w:val="00A80FBE"/>
    <w:rsid w:val="00A81512"/>
    <w:rsid w:val="00A820BB"/>
    <w:rsid w:val="00A8213E"/>
    <w:rsid w:val="00A82661"/>
    <w:rsid w:val="00A831AB"/>
    <w:rsid w:val="00A853B8"/>
    <w:rsid w:val="00A87066"/>
    <w:rsid w:val="00A92A85"/>
    <w:rsid w:val="00A9447E"/>
    <w:rsid w:val="00A94D11"/>
    <w:rsid w:val="00A96239"/>
    <w:rsid w:val="00A96275"/>
    <w:rsid w:val="00A973FD"/>
    <w:rsid w:val="00AA0252"/>
    <w:rsid w:val="00AA0AE2"/>
    <w:rsid w:val="00AA15D7"/>
    <w:rsid w:val="00AA1AEE"/>
    <w:rsid w:val="00AA36B6"/>
    <w:rsid w:val="00AA5D15"/>
    <w:rsid w:val="00AA5DBE"/>
    <w:rsid w:val="00AA6B1A"/>
    <w:rsid w:val="00AA6E5E"/>
    <w:rsid w:val="00AA71C5"/>
    <w:rsid w:val="00AB1150"/>
    <w:rsid w:val="00AB25DD"/>
    <w:rsid w:val="00AB31F4"/>
    <w:rsid w:val="00AB76B1"/>
    <w:rsid w:val="00AC0670"/>
    <w:rsid w:val="00AC36EA"/>
    <w:rsid w:val="00AC3DD5"/>
    <w:rsid w:val="00AC4A8D"/>
    <w:rsid w:val="00AC4C8D"/>
    <w:rsid w:val="00AC4F95"/>
    <w:rsid w:val="00AC71DD"/>
    <w:rsid w:val="00AC7241"/>
    <w:rsid w:val="00AC7689"/>
    <w:rsid w:val="00AD05A9"/>
    <w:rsid w:val="00AD1AC1"/>
    <w:rsid w:val="00AD1D9F"/>
    <w:rsid w:val="00AD4BB7"/>
    <w:rsid w:val="00AD4CF7"/>
    <w:rsid w:val="00AD5297"/>
    <w:rsid w:val="00AE1A4E"/>
    <w:rsid w:val="00AE3F32"/>
    <w:rsid w:val="00AE66F8"/>
    <w:rsid w:val="00AE6BE0"/>
    <w:rsid w:val="00AF09C1"/>
    <w:rsid w:val="00AF1212"/>
    <w:rsid w:val="00AF197D"/>
    <w:rsid w:val="00AF3AE3"/>
    <w:rsid w:val="00AF43BD"/>
    <w:rsid w:val="00AF44A6"/>
    <w:rsid w:val="00AF55D5"/>
    <w:rsid w:val="00AF7BAD"/>
    <w:rsid w:val="00B01884"/>
    <w:rsid w:val="00B0372E"/>
    <w:rsid w:val="00B04D09"/>
    <w:rsid w:val="00B04EA4"/>
    <w:rsid w:val="00B06A35"/>
    <w:rsid w:val="00B06C2F"/>
    <w:rsid w:val="00B075BA"/>
    <w:rsid w:val="00B07A94"/>
    <w:rsid w:val="00B11AE5"/>
    <w:rsid w:val="00B14927"/>
    <w:rsid w:val="00B151AC"/>
    <w:rsid w:val="00B16B63"/>
    <w:rsid w:val="00B17347"/>
    <w:rsid w:val="00B17716"/>
    <w:rsid w:val="00B17E9B"/>
    <w:rsid w:val="00B2324B"/>
    <w:rsid w:val="00B258A3"/>
    <w:rsid w:val="00B306E7"/>
    <w:rsid w:val="00B315D0"/>
    <w:rsid w:val="00B31B1C"/>
    <w:rsid w:val="00B34163"/>
    <w:rsid w:val="00B34329"/>
    <w:rsid w:val="00B344E0"/>
    <w:rsid w:val="00B345FC"/>
    <w:rsid w:val="00B3565F"/>
    <w:rsid w:val="00B35B6E"/>
    <w:rsid w:val="00B35E7C"/>
    <w:rsid w:val="00B36500"/>
    <w:rsid w:val="00B368CF"/>
    <w:rsid w:val="00B370F0"/>
    <w:rsid w:val="00B375D3"/>
    <w:rsid w:val="00B3774A"/>
    <w:rsid w:val="00B3774B"/>
    <w:rsid w:val="00B424E7"/>
    <w:rsid w:val="00B42C7C"/>
    <w:rsid w:val="00B43567"/>
    <w:rsid w:val="00B45EDD"/>
    <w:rsid w:val="00B45F03"/>
    <w:rsid w:val="00B45F0A"/>
    <w:rsid w:val="00B52A97"/>
    <w:rsid w:val="00B52D9E"/>
    <w:rsid w:val="00B5522F"/>
    <w:rsid w:val="00B55411"/>
    <w:rsid w:val="00B60B43"/>
    <w:rsid w:val="00B624C4"/>
    <w:rsid w:val="00B62C1F"/>
    <w:rsid w:val="00B64E2D"/>
    <w:rsid w:val="00B67B29"/>
    <w:rsid w:val="00B70319"/>
    <w:rsid w:val="00B70923"/>
    <w:rsid w:val="00B7096A"/>
    <w:rsid w:val="00B710E7"/>
    <w:rsid w:val="00B73944"/>
    <w:rsid w:val="00B748F0"/>
    <w:rsid w:val="00B74AAA"/>
    <w:rsid w:val="00B76753"/>
    <w:rsid w:val="00B76C8C"/>
    <w:rsid w:val="00B77565"/>
    <w:rsid w:val="00B80C2C"/>
    <w:rsid w:val="00B827FB"/>
    <w:rsid w:val="00B8311A"/>
    <w:rsid w:val="00B83C53"/>
    <w:rsid w:val="00B843DE"/>
    <w:rsid w:val="00B85719"/>
    <w:rsid w:val="00B85B41"/>
    <w:rsid w:val="00B85B5F"/>
    <w:rsid w:val="00B86ABF"/>
    <w:rsid w:val="00B87A2B"/>
    <w:rsid w:val="00B87C01"/>
    <w:rsid w:val="00B90471"/>
    <w:rsid w:val="00B91EF7"/>
    <w:rsid w:val="00B947BD"/>
    <w:rsid w:val="00B97C4F"/>
    <w:rsid w:val="00BA067B"/>
    <w:rsid w:val="00BA0866"/>
    <w:rsid w:val="00BA0F5F"/>
    <w:rsid w:val="00BA1B80"/>
    <w:rsid w:val="00BA2E1F"/>
    <w:rsid w:val="00BA3CFD"/>
    <w:rsid w:val="00BA44AB"/>
    <w:rsid w:val="00BA6290"/>
    <w:rsid w:val="00BB02A5"/>
    <w:rsid w:val="00BB02D4"/>
    <w:rsid w:val="00BB0846"/>
    <w:rsid w:val="00BB08AC"/>
    <w:rsid w:val="00BB38CE"/>
    <w:rsid w:val="00BB38E3"/>
    <w:rsid w:val="00BB69FC"/>
    <w:rsid w:val="00BC054A"/>
    <w:rsid w:val="00BC0585"/>
    <w:rsid w:val="00BC06A5"/>
    <w:rsid w:val="00BC06CF"/>
    <w:rsid w:val="00BC0C40"/>
    <w:rsid w:val="00BC25A0"/>
    <w:rsid w:val="00BC3F34"/>
    <w:rsid w:val="00BC475B"/>
    <w:rsid w:val="00BC4AEC"/>
    <w:rsid w:val="00BC57DD"/>
    <w:rsid w:val="00BC621E"/>
    <w:rsid w:val="00BC684A"/>
    <w:rsid w:val="00BC7D8D"/>
    <w:rsid w:val="00BD0775"/>
    <w:rsid w:val="00BD1691"/>
    <w:rsid w:val="00BD38C3"/>
    <w:rsid w:val="00BD5D09"/>
    <w:rsid w:val="00BD5DBC"/>
    <w:rsid w:val="00BD6531"/>
    <w:rsid w:val="00BD7435"/>
    <w:rsid w:val="00BE0162"/>
    <w:rsid w:val="00BE5FB0"/>
    <w:rsid w:val="00BE625A"/>
    <w:rsid w:val="00BE701B"/>
    <w:rsid w:val="00BE7FF6"/>
    <w:rsid w:val="00BF31B5"/>
    <w:rsid w:val="00BF3753"/>
    <w:rsid w:val="00BF71D3"/>
    <w:rsid w:val="00C00306"/>
    <w:rsid w:val="00C022B0"/>
    <w:rsid w:val="00C03633"/>
    <w:rsid w:val="00C0381F"/>
    <w:rsid w:val="00C05213"/>
    <w:rsid w:val="00C05E6C"/>
    <w:rsid w:val="00C065AA"/>
    <w:rsid w:val="00C103A7"/>
    <w:rsid w:val="00C104EF"/>
    <w:rsid w:val="00C11271"/>
    <w:rsid w:val="00C118C3"/>
    <w:rsid w:val="00C1218E"/>
    <w:rsid w:val="00C125C6"/>
    <w:rsid w:val="00C139CC"/>
    <w:rsid w:val="00C15859"/>
    <w:rsid w:val="00C20F93"/>
    <w:rsid w:val="00C21AE4"/>
    <w:rsid w:val="00C22D0C"/>
    <w:rsid w:val="00C2419C"/>
    <w:rsid w:val="00C24AD5"/>
    <w:rsid w:val="00C24BA6"/>
    <w:rsid w:val="00C24E91"/>
    <w:rsid w:val="00C25BBF"/>
    <w:rsid w:val="00C25C72"/>
    <w:rsid w:val="00C26415"/>
    <w:rsid w:val="00C26D88"/>
    <w:rsid w:val="00C27B6E"/>
    <w:rsid w:val="00C30D15"/>
    <w:rsid w:val="00C3107B"/>
    <w:rsid w:val="00C31792"/>
    <w:rsid w:val="00C32A5E"/>
    <w:rsid w:val="00C33218"/>
    <w:rsid w:val="00C3465C"/>
    <w:rsid w:val="00C36054"/>
    <w:rsid w:val="00C40A98"/>
    <w:rsid w:val="00C40D84"/>
    <w:rsid w:val="00C40F48"/>
    <w:rsid w:val="00C41845"/>
    <w:rsid w:val="00C4306B"/>
    <w:rsid w:val="00C43C32"/>
    <w:rsid w:val="00C4465E"/>
    <w:rsid w:val="00C45648"/>
    <w:rsid w:val="00C456E7"/>
    <w:rsid w:val="00C46EDA"/>
    <w:rsid w:val="00C470D2"/>
    <w:rsid w:val="00C50C62"/>
    <w:rsid w:val="00C5242F"/>
    <w:rsid w:val="00C53AD1"/>
    <w:rsid w:val="00C60FAF"/>
    <w:rsid w:val="00C6182D"/>
    <w:rsid w:val="00C624D9"/>
    <w:rsid w:val="00C62A6A"/>
    <w:rsid w:val="00C63545"/>
    <w:rsid w:val="00C63BB9"/>
    <w:rsid w:val="00C64740"/>
    <w:rsid w:val="00C647DE"/>
    <w:rsid w:val="00C65DB4"/>
    <w:rsid w:val="00C65F52"/>
    <w:rsid w:val="00C6623A"/>
    <w:rsid w:val="00C7003E"/>
    <w:rsid w:val="00C71778"/>
    <w:rsid w:val="00C71C7F"/>
    <w:rsid w:val="00C71CA8"/>
    <w:rsid w:val="00C72976"/>
    <w:rsid w:val="00C72B44"/>
    <w:rsid w:val="00C72B6D"/>
    <w:rsid w:val="00C72D07"/>
    <w:rsid w:val="00C73C05"/>
    <w:rsid w:val="00C749E3"/>
    <w:rsid w:val="00C75FBF"/>
    <w:rsid w:val="00C77F2B"/>
    <w:rsid w:val="00C81877"/>
    <w:rsid w:val="00C8189E"/>
    <w:rsid w:val="00C8281A"/>
    <w:rsid w:val="00C83F09"/>
    <w:rsid w:val="00C853DC"/>
    <w:rsid w:val="00C87352"/>
    <w:rsid w:val="00C875B9"/>
    <w:rsid w:val="00C876FA"/>
    <w:rsid w:val="00C87C64"/>
    <w:rsid w:val="00C906F7"/>
    <w:rsid w:val="00C91DFD"/>
    <w:rsid w:val="00C92026"/>
    <w:rsid w:val="00C95811"/>
    <w:rsid w:val="00C9633C"/>
    <w:rsid w:val="00C96589"/>
    <w:rsid w:val="00C97BBD"/>
    <w:rsid w:val="00CA2B18"/>
    <w:rsid w:val="00CA345B"/>
    <w:rsid w:val="00CA3A3C"/>
    <w:rsid w:val="00CA3D48"/>
    <w:rsid w:val="00CA3FA1"/>
    <w:rsid w:val="00CA4B5C"/>
    <w:rsid w:val="00CA5726"/>
    <w:rsid w:val="00CA65E3"/>
    <w:rsid w:val="00CA7039"/>
    <w:rsid w:val="00CB168F"/>
    <w:rsid w:val="00CB19B3"/>
    <w:rsid w:val="00CB19F8"/>
    <w:rsid w:val="00CB2B68"/>
    <w:rsid w:val="00CB3317"/>
    <w:rsid w:val="00CB4466"/>
    <w:rsid w:val="00CB4FC3"/>
    <w:rsid w:val="00CB5CFA"/>
    <w:rsid w:val="00CC1F42"/>
    <w:rsid w:val="00CC1FB2"/>
    <w:rsid w:val="00CC2CDB"/>
    <w:rsid w:val="00CC4165"/>
    <w:rsid w:val="00CC7044"/>
    <w:rsid w:val="00CD21CD"/>
    <w:rsid w:val="00CD27CD"/>
    <w:rsid w:val="00CD2D0D"/>
    <w:rsid w:val="00CD30B6"/>
    <w:rsid w:val="00CD3F8E"/>
    <w:rsid w:val="00CD495F"/>
    <w:rsid w:val="00CD5B37"/>
    <w:rsid w:val="00CD5D34"/>
    <w:rsid w:val="00CD70C2"/>
    <w:rsid w:val="00CD793C"/>
    <w:rsid w:val="00CE0C83"/>
    <w:rsid w:val="00CE2AD1"/>
    <w:rsid w:val="00CE3853"/>
    <w:rsid w:val="00CE3EE7"/>
    <w:rsid w:val="00CE40A2"/>
    <w:rsid w:val="00CE5676"/>
    <w:rsid w:val="00CE57AC"/>
    <w:rsid w:val="00CE5915"/>
    <w:rsid w:val="00CE6598"/>
    <w:rsid w:val="00CF001E"/>
    <w:rsid w:val="00CF19C4"/>
    <w:rsid w:val="00CF2393"/>
    <w:rsid w:val="00CF327F"/>
    <w:rsid w:val="00CF42FA"/>
    <w:rsid w:val="00CF67C0"/>
    <w:rsid w:val="00D02DE1"/>
    <w:rsid w:val="00D0471E"/>
    <w:rsid w:val="00D06EA3"/>
    <w:rsid w:val="00D07605"/>
    <w:rsid w:val="00D10A56"/>
    <w:rsid w:val="00D11FFF"/>
    <w:rsid w:val="00D12550"/>
    <w:rsid w:val="00D173BC"/>
    <w:rsid w:val="00D22087"/>
    <w:rsid w:val="00D22163"/>
    <w:rsid w:val="00D22890"/>
    <w:rsid w:val="00D23743"/>
    <w:rsid w:val="00D23B5E"/>
    <w:rsid w:val="00D24207"/>
    <w:rsid w:val="00D25F45"/>
    <w:rsid w:val="00D26663"/>
    <w:rsid w:val="00D26C38"/>
    <w:rsid w:val="00D27C5D"/>
    <w:rsid w:val="00D27DCE"/>
    <w:rsid w:val="00D300D8"/>
    <w:rsid w:val="00D3018E"/>
    <w:rsid w:val="00D308BB"/>
    <w:rsid w:val="00D32785"/>
    <w:rsid w:val="00D33413"/>
    <w:rsid w:val="00D33F5F"/>
    <w:rsid w:val="00D349C9"/>
    <w:rsid w:val="00D34BC8"/>
    <w:rsid w:val="00D35D42"/>
    <w:rsid w:val="00D440FA"/>
    <w:rsid w:val="00D46686"/>
    <w:rsid w:val="00D50493"/>
    <w:rsid w:val="00D50E69"/>
    <w:rsid w:val="00D52560"/>
    <w:rsid w:val="00D54551"/>
    <w:rsid w:val="00D566C0"/>
    <w:rsid w:val="00D56BB4"/>
    <w:rsid w:val="00D57D6E"/>
    <w:rsid w:val="00D62549"/>
    <w:rsid w:val="00D62F23"/>
    <w:rsid w:val="00D64466"/>
    <w:rsid w:val="00D6460A"/>
    <w:rsid w:val="00D677A2"/>
    <w:rsid w:val="00D7672A"/>
    <w:rsid w:val="00D76FE4"/>
    <w:rsid w:val="00D779E2"/>
    <w:rsid w:val="00D80969"/>
    <w:rsid w:val="00D80F44"/>
    <w:rsid w:val="00D81353"/>
    <w:rsid w:val="00D81372"/>
    <w:rsid w:val="00D868B7"/>
    <w:rsid w:val="00D91605"/>
    <w:rsid w:val="00D96547"/>
    <w:rsid w:val="00DA01C9"/>
    <w:rsid w:val="00DA23E3"/>
    <w:rsid w:val="00DA4324"/>
    <w:rsid w:val="00DA56D7"/>
    <w:rsid w:val="00DA7530"/>
    <w:rsid w:val="00DB0769"/>
    <w:rsid w:val="00DB24B2"/>
    <w:rsid w:val="00DB3423"/>
    <w:rsid w:val="00DB4023"/>
    <w:rsid w:val="00DB420A"/>
    <w:rsid w:val="00DB46B3"/>
    <w:rsid w:val="00DB777E"/>
    <w:rsid w:val="00DC14BA"/>
    <w:rsid w:val="00DC1693"/>
    <w:rsid w:val="00DC2FBE"/>
    <w:rsid w:val="00DC32B0"/>
    <w:rsid w:val="00DC4D73"/>
    <w:rsid w:val="00DC592F"/>
    <w:rsid w:val="00DC670D"/>
    <w:rsid w:val="00DC7DE0"/>
    <w:rsid w:val="00DD1055"/>
    <w:rsid w:val="00DD17FB"/>
    <w:rsid w:val="00DD6041"/>
    <w:rsid w:val="00DD616A"/>
    <w:rsid w:val="00DD742A"/>
    <w:rsid w:val="00DD7683"/>
    <w:rsid w:val="00DD7D32"/>
    <w:rsid w:val="00DE10FE"/>
    <w:rsid w:val="00DE1DF7"/>
    <w:rsid w:val="00DE2204"/>
    <w:rsid w:val="00DE36A9"/>
    <w:rsid w:val="00DE4EF4"/>
    <w:rsid w:val="00DE5DA2"/>
    <w:rsid w:val="00DE74E9"/>
    <w:rsid w:val="00DF0D9F"/>
    <w:rsid w:val="00DF2662"/>
    <w:rsid w:val="00DF300C"/>
    <w:rsid w:val="00DF3E1D"/>
    <w:rsid w:val="00DF4DCE"/>
    <w:rsid w:val="00E008B2"/>
    <w:rsid w:val="00E02764"/>
    <w:rsid w:val="00E02B5F"/>
    <w:rsid w:val="00E02D1F"/>
    <w:rsid w:val="00E05337"/>
    <w:rsid w:val="00E061C8"/>
    <w:rsid w:val="00E061DD"/>
    <w:rsid w:val="00E0676C"/>
    <w:rsid w:val="00E108E6"/>
    <w:rsid w:val="00E110EB"/>
    <w:rsid w:val="00E1143F"/>
    <w:rsid w:val="00E15437"/>
    <w:rsid w:val="00E157D6"/>
    <w:rsid w:val="00E16048"/>
    <w:rsid w:val="00E177BE"/>
    <w:rsid w:val="00E20668"/>
    <w:rsid w:val="00E21154"/>
    <w:rsid w:val="00E21E7B"/>
    <w:rsid w:val="00E2211D"/>
    <w:rsid w:val="00E22149"/>
    <w:rsid w:val="00E2268F"/>
    <w:rsid w:val="00E22CE0"/>
    <w:rsid w:val="00E241F6"/>
    <w:rsid w:val="00E266FD"/>
    <w:rsid w:val="00E31569"/>
    <w:rsid w:val="00E31E0C"/>
    <w:rsid w:val="00E32007"/>
    <w:rsid w:val="00E320D3"/>
    <w:rsid w:val="00E342A5"/>
    <w:rsid w:val="00E34384"/>
    <w:rsid w:val="00E34802"/>
    <w:rsid w:val="00E35D00"/>
    <w:rsid w:val="00E3707D"/>
    <w:rsid w:val="00E375F7"/>
    <w:rsid w:val="00E40BFC"/>
    <w:rsid w:val="00E412F0"/>
    <w:rsid w:val="00E41604"/>
    <w:rsid w:val="00E44577"/>
    <w:rsid w:val="00E44AEF"/>
    <w:rsid w:val="00E452C1"/>
    <w:rsid w:val="00E55461"/>
    <w:rsid w:val="00E55F1C"/>
    <w:rsid w:val="00E56B8C"/>
    <w:rsid w:val="00E5730B"/>
    <w:rsid w:val="00E57D8C"/>
    <w:rsid w:val="00E65797"/>
    <w:rsid w:val="00E6644B"/>
    <w:rsid w:val="00E7189D"/>
    <w:rsid w:val="00E74102"/>
    <w:rsid w:val="00E74319"/>
    <w:rsid w:val="00E74A30"/>
    <w:rsid w:val="00E750C6"/>
    <w:rsid w:val="00E75657"/>
    <w:rsid w:val="00E76EE8"/>
    <w:rsid w:val="00E77290"/>
    <w:rsid w:val="00E77FEE"/>
    <w:rsid w:val="00E8025B"/>
    <w:rsid w:val="00E82A58"/>
    <w:rsid w:val="00E84B62"/>
    <w:rsid w:val="00E865F6"/>
    <w:rsid w:val="00E87628"/>
    <w:rsid w:val="00E90262"/>
    <w:rsid w:val="00E9048A"/>
    <w:rsid w:val="00E93BD7"/>
    <w:rsid w:val="00E94C9C"/>
    <w:rsid w:val="00E94F54"/>
    <w:rsid w:val="00E95139"/>
    <w:rsid w:val="00E978D1"/>
    <w:rsid w:val="00EA2032"/>
    <w:rsid w:val="00EA3E58"/>
    <w:rsid w:val="00EA45A6"/>
    <w:rsid w:val="00EA56EE"/>
    <w:rsid w:val="00EA5B96"/>
    <w:rsid w:val="00EA5E67"/>
    <w:rsid w:val="00EA690C"/>
    <w:rsid w:val="00EB179E"/>
    <w:rsid w:val="00EB2A91"/>
    <w:rsid w:val="00EB3FD1"/>
    <w:rsid w:val="00EB5D20"/>
    <w:rsid w:val="00EB73A4"/>
    <w:rsid w:val="00EB7BCA"/>
    <w:rsid w:val="00EC16F3"/>
    <w:rsid w:val="00EC474F"/>
    <w:rsid w:val="00EC5AF3"/>
    <w:rsid w:val="00EC624F"/>
    <w:rsid w:val="00ED228D"/>
    <w:rsid w:val="00ED2781"/>
    <w:rsid w:val="00ED2CA5"/>
    <w:rsid w:val="00ED3370"/>
    <w:rsid w:val="00ED4FB4"/>
    <w:rsid w:val="00ED5F1C"/>
    <w:rsid w:val="00EE0287"/>
    <w:rsid w:val="00EE2E17"/>
    <w:rsid w:val="00EE32B2"/>
    <w:rsid w:val="00EE3829"/>
    <w:rsid w:val="00EE39FB"/>
    <w:rsid w:val="00EE4B5E"/>
    <w:rsid w:val="00EE4DE0"/>
    <w:rsid w:val="00EE5597"/>
    <w:rsid w:val="00EE6D70"/>
    <w:rsid w:val="00EE6EF7"/>
    <w:rsid w:val="00EF0B02"/>
    <w:rsid w:val="00EF276A"/>
    <w:rsid w:val="00EF5049"/>
    <w:rsid w:val="00EF5841"/>
    <w:rsid w:val="00F022E7"/>
    <w:rsid w:val="00F045E5"/>
    <w:rsid w:val="00F049A0"/>
    <w:rsid w:val="00F078AE"/>
    <w:rsid w:val="00F104DE"/>
    <w:rsid w:val="00F10D58"/>
    <w:rsid w:val="00F117E0"/>
    <w:rsid w:val="00F121DC"/>
    <w:rsid w:val="00F129F9"/>
    <w:rsid w:val="00F13317"/>
    <w:rsid w:val="00F13579"/>
    <w:rsid w:val="00F154CB"/>
    <w:rsid w:val="00F156AB"/>
    <w:rsid w:val="00F16768"/>
    <w:rsid w:val="00F172A8"/>
    <w:rsid w:val="00F212AA"/>
    <w:rsid w:val="00F2144C"/>
    <w:rsid w:val="00F24B59"/>
    <w:rsid w:val="00F24E8C"/>
    <w:rsid w:val="00F26555"/>
    <w:rsid w:val="00F265F7"/>
    <w:rsid w:val="00F26691"/>
    <w:rsid w:val="00F300AB"/>
    <w:rsid w:val="00F3039E"/>
    <w:rsid w:val="00F30D3E"/>
    <w:rsid w:val="00F3526B"/>
    <w:rsid w:val="00F352B7"/>
    <w:rsid w:val="00F37BDE"/>
    <w:rsid w:val="00F41C58"/>
    <w:rsid w:val="00F431F1"/>
    <w:rsid w:val="00F435AF"/>
    <w:rsid w:val="00F43E9E"/>
    <w:rsid w:val="00F45479"/>
    <w:rsid w:val="00F5460D"/>
    <w:rsid w:val="00F556B4"/>
    <w:rsid w:val="00F5665B"/>
    <w:rsid w:val="00F56D1C"/>
    <w:rsid w:val="00F608D3"/>
    <w:rsid w:val="00F62161"/>
    <w:rsid w:val="00F62A17"/>
    <w:rsid w:val="00F63FCD"/>
    <w:rsid w:val="00F67999"/>
    <w:rsid w:val="00F7193B"/>
    <w:rsid w:val="00F735F3"/>
    <w:rsid w:val="00F746FE"/>
    <w:rsid w:val="00F747DC"/>
    <w:rsid w:val="00F7611A"/>
    <w:rsid w:val="00F76BCD"/>
    <w:rsid w:val="00F80EF6"/>
    <w:rsid w:val="00F81698"/>
    <w:rsid w:val="00F81F5C"/>
    <w:rsid w:val="00F82509"/>
    <w:rsid w:val="00F85A3B"/>
    <w:rsid w:val="00F87278"/>
    <w:rsid w:val="00F90939"/>
    <w:rsid w:val="00F90EC8"/>
    <w:rsid w:val="00F920A6"/>
    <w:rsid w:val="00F9511E"/>
    <w:rsid w:val="00F95F36"/>
    <w:rsid w:val="00F96A4A"/>
    <w:rsid w:val="00FA16CC"/>
    <w:rsid w:val="00FA2786"/>
    <w:rsid w:val="00FA2831"/>
    <w:rsid w:val="00FA2C83"/>
    <w:rsid w:val="00FA3E17"/>
    <w:rsid w:val="00FA6307"/>
    <w:rsid w:val="00FB1BE6"/>
    <w:rsid w:val="00FB28CD"/>
    <w:rsid w:val="00FB48F4"/>
    <w:rsid w:val="00FB6A8F"/>
    <w:rsid w:val="00FB703B"/>
    <w:rsid w:val="00FB796A"/>
    <w:rsid w:val="00FC0DDF"/>
    <w:rsid w:val="00FC76D3"/>
    <w:rsid w:val="00FC76DB"/>
    <w:rsid w:val="00FD1F24"/>
    <w:rsid w:val="00FD325A"/>
    <w:rsid w:val="00FD4C0B"/>
    <w:rsid w:val="00FD68C1"/>
    <w:rsid w:val="00FD6E7F"/>
    <w:rsid w:val="00FD731B"/>
    <w:rsid w:val="00FE2BFC"/>
    <w:rsid w:val="00FE382D"/>
    <w:rsid w:val="00FE3A1C"/>
    <w:rsid w:val="00FE70A8"/>
    <w:rsid w:val="00FF147D"/>
    <w:rsid w:val="00FF236D"/>
    <w:rsid w:val="00FF27FF"/>
    <w:rsid w:val="00FF30EB"/>
    <w:rsid w:val="00FF4986"/>
    <w:rsid w:val="00FF7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CD29"/>
  <w15:chartTrackingRefBased/>
  <w15:docId w15:val="{EB0741F7-C3AA-A34B-A649-781BE4A9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E72"/>
    <w:rPr>
      <w:rFonts w:eastAsiaTheme="majorEastAsia" w:cstheme="majorBidi"/>
      <w:color w:val="272727" w:themeColor="text1" w:themeTint="D8"/>
    </w:rPr>
  </w:style>
  <w:style w:type="paragraph" w:styleId="Title">
    <w:name w:val="Title"/>
    <w:basedOn w:val="Normal"/>
    <w:next w:val="Normal"/>
    <w:link w:val="TitleChar"/>
    <w:uiPriority w:val="10"/>
    <w:qFormat/>
    <w:rsid w:val="00070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E72"/>
    <w:pPr>
      <w:spacing w:before="160"/>
      <w:jc w:val="center"/>
    </w:pPr>
    <w:rPr>
      <w:i/>
      <w:iCs/>
      <w:color w:val="404040" w:themeColor="text1" w:themeTint="BF"/>
    </w:rPr>
  </w:style>
  <w:style w:type="character" w:customStyle="1" w:styleId="QuoteChar">
    <w:name w:val="Quote Char"/>
    <w:basedOn w:val="DefaultParagraphFont"/>
    <w:link w:val="Quote"/>
    <w:uiPriority w:val="29"/>
    <w:rsid w:val="00070E72"/>
    <w:rPr>
      <w:i/>
      <w:iCs/>
      <w:color w:val="404040" w:themeColor="text1" w:themeTint="BF"/>
    </w:rPr>
  </w:style>
  <w:style w:type="paragraph" w:styleId="ListParagraph">
    <w:name w:val="List Paragraph"/>
    <w:basedOn w:val="Normal"/>
    <w:uiPriority w:val="34"/>
    <w:qFormat/>
    <w:rsid w:val="00070E72"/>
    <w:pPr>
      <w:ind w:left="720"/>
      <w:contextualSpacing/>
    </w:pPr>
  </w:style>
  <w:style w:type="character" w:styleId="IntenseEmphasis">
    <w:name w:val="Intense Emphasis"/>
    <w:basedOn w:val="DefaultParagraphFont"/>
    <w:uiPriority w:val="21"/>
    <w:qFormat/>
    <w:rsid w:val="00070E72"/>
    <w:rPr>
      <w:i/>
      <w:iCs/>
      <w:color w:val="0F4761" w:themeColor="accent1" w:themeShade="BF"/>
    </w:rPr>
  </w:style>
  <w:style w:type="paragraph" w:styleId="IntenseQuote">
    <w:name w:val="Intense Quote"/>
    <w:basedOn w:val="Normal"/>
    <w:next w:val="Normal"/>
    <w:link w:val="IntenseQuoteChar"/>
    <w:uiPriority w:val="30"/>
    <w:qFormat/>
    <w:rsid w:val="00070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E72"/>
    <w:rPr>
      <w:i/>
      <w:iCs/>
      <w:color w:val="0F4761" w:themeColor="accent1" w:themeShade="BF"/>
    </w:rPr>
  </w:style>
  <w:style w:type="character" w:styleId="IntenseReference">
    <w:name w:val="Intense Reference"/>
    <w:basedOn w:val="DefaultParagraphFont"/>
    <w:uiPriority w:val="32"/>
    <w:qFormat/>
    <w:rsid w:val="00070E72"/>
    <w:rPr>
      <w:b/>
      <w:bCs/>
      <w:smallCaps/>
      <w:color w:val="0F4761" w:themeColor="accent1" w:themeShade="BF"/>
      <w:spacing w:val="5"/>
    </w:rPr>
  </w:style>
  <w:style w:type="table" w:styleId="TableGrid">
    <w:name w:val="Table Grid"/>
    <w:basedOn w:val="TableNormal"/>
    <w:uiPriority w:val="39"/>
    <w:rsid w:val="00070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5B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5B6E"/>
    <w:rPr>
      <w:sz w:val="20"/>
      <w:szCs w:val="20"/>
    </w:rPr>
  </w:style>
  <w:style w:type="character" w:styleId="FootnoteReference">
    <w:name w:val="footnote reference"/>
    <w:basedOn w:val="DefaultParagraphFont"/>
    <w:uiPriority w:val="99"/>
    <w:semiHidden/>
    <w:unhideWhenUsed/>
    <w:rsid w:val="00B35B6E"/>
    <w:rPr>
      <w:vertAlign w:val="superscript"/>
    </w:rPr>
  </w:style>
  <w:style w:type="paragraph" w:styleId="Header">
    <w:name w:val="header"/>
    <w:basedOn w:val="Normal"/>
    <w:link w:val="HeaderChar"/>
    <w:uiPriority w:val="99"/>
    <w:unhideWhenUsed/>
    <w:rsid w:val="009254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471"/>
  </w:style>
  <w:style w:type="paragraph" w:styleId="Footer">
    <w:name w:val="footer"/>
    <w:basedOn w:val="Normal"/>
    <w:link w:val="FooterChar"/>
    <w:uiPriority w:val="99"/>
    <w:unhideWhenUsed/>
    <w:rsid w:val="00925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471"/>
  </w:style>
  <w:style w:type="character" w:styleId="PageNumber">
    <w:name w:val="page number"/>
    <w:basedOn w:val="DefaultParagraphFont"/>
    <w:uiPriority w:val="99"/>
    <w:semiHidden/>
    <w:unhideWhenUsed/>
    <w:rsid w:val="008325CA"/>
  </w:style>
  <w:style w:type="paragraph" w:styleId="Revision">
    <w:name w:val="Revision"/>
    <w:hidden/>
    <w:uiPriority w:val="99"/>
    <w:semiHidden/>
    <w:rsid w:val="00470762"/>
    <w:pPr>
      <w:spacing w:after="0" w:line="240" w:lineRule="auto"/>
    </w:pPr>
  </w:style>
  <w:style w:type="character" w:styleId="Hyperlink">
    <w:name w:val="Hyperlink"/>
    <w:basedOn w:val="DefaultParagraphFont"/>
    <w:uiPriority w:val="99"/>
    <w:unhideWhenUsed/>
    <w:rsid w:val="00DD7D32"/>
    <w:rPr>
      <w:color w:val="1155CC"/>
      <w:u w:val="single"/>
    </w:rPr>
  </w:style>
  <w:style w:type="character" w:styleId="FollowedHyperlink">
    <w:name w:val="FollowedHyperlink"/>
    <w:basedOn w:val="DefaultParagraphFont"/>
    <w:uiPriority w:val="99"/>
    <w:semiHidden/>
    <w:unhideWhenUsed/>
    <w:rsid w:val="00DD7D32"/>
    <w:rPr>
      <w:color w:val="1155CC"/>
      <w:u w:val="single"/>
    </w:rPr>
  </w:style>
  <w:style w:type="paragraph" w:customStyle="1" w:styleId="msonormal0">
    <w:name w:val="msonormal"/>
    <w:basedOn w:val="Normal"/>
    <w:rsid w:val="00DD7D3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DD7D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8"/>
      <w:szCs w:val="28"/>
      <w14:ligatures w14:val="none"/>
    </w:rPr>
  </w:style>
  <w:style w:type="paragraph" w:customStyle="1" w:styleId="xl66">
    <w:name w:val="xl66"/>
    <w:basedOn w:val="Normal"/>
    <w:rsid w:val="00DD7D3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67">
    <w:name w:val="xl67"/>
    <w:basedOn w:val="Normal"/>
    <w:rsid w:val="00DD7D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color w:val="000000"/>
      <w:kern w:val="0"/>
      <w14:ligatures w14:val="none"/>
    </w:rPr>
  </w:style>
  <w:style w:type="paragraph" w:customStyle="1" w:styleId="xl68">
    <w:name w:val="xl68"/>
    <w:basedOn w:val="Normal"/>
    <w:rsid w:val="00DD7D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14:ligatures w14:val="none"/>
    </w:rPr>
  </w:style>
  <w:style w:type="paragraph" w:customStyle="1" w:styleId="xl69">
    <w:name w:val="xl69"/>
    <w:basedOn w:val="Normal"/>
    <w:rsid w:val="00DD7D32"/>
    <w:pPr>
      <w:pBdr>
        <w:left w:val="single" w:sz="4" w:space="0" w:color="000000"/>
        <w:right w:val="single" w:sz="4" w:space="0" w:color="000000"/>
      </w:pBdr>
      <w:spacing w:before="100" w:beforeAutospacing="1" w:after="100" w:afterAutospacing="1" w:line="240" w:lineRule="auto"/>
    </w:pPr>
    <w:rPr>
      <w:rFonts w:ascii="Arial" w:eastAsia="Times New Roman" w:hAnsi="Arial" w:cs="Arial"/>
      <w:kern w:val="0"/>
      <w14:ligatures w14:val="none"/>
    </w:rPr>
  </w:style>
  <w:style w:type="paragraph" w:customStyle="1" w:styleId="xl70">
    <w:name w:val="xl70"/>
    <w:basedOn w:val="Normal"/>
    <w:rsid w:val="00DD7D32"/>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kern w:val="0"/>
      <w14:ligatures w14:val="none"/>
    </w:rPr>
  </w:style>
  <w:style w:type="paragraph" w:customStyle="1" w:styleId="xl71">
    <w:name w:val="xl71"/>
    <w:basedOn w:val="Normal"/>
    <w:rsid w:val="00DD7D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customStyle="1" w:styleId="xl72">
    <w:name w:val="xl72"/>
    <w:basedOn w:val="Normal"/>
    <w:rsid w:val="00DD7D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73">
    <w:name w:val="xl73"/>
    <w:basedOn w:val="Normal"/>
    <w:rsid w:val="00DD7D32"/>
    <w:pPr>
      <w:spacing w:before="100" w:beforeAutospacing="1" w:after="100" w:afterAutospacing="1" w:line="240" w:lineRule="auto"/>
    </w:pPr>
    <w:rPr>
      <w:rFonts w:ascii="&quot;Times New Roman&quot;" w:eastAsia="Times New Roman" w:hAnsi="&quot;Times New Roman&quot;" w:cs="Times New Roman"/>
      <w:color w:val="000000"/>
      <w:kern w:val="0"/>
      <w14:ligatures w14:val="none"/>
    </w:rPr>
  </w:style>
  <w:style w:type="paragraph" w:customStyle="1" w:styleId="xl74">
    <w:name w:val="xl74"/>
    <w:basedOn w:val="Normal"/>
    <w:rsid w:val="00DD7D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14:ligatures w14:val="none"/>
    </w:rPr>
  </w:style>
  <w:style w:type="paragraph" w:customStyle="1" w:styleId="xl75">
    <w:name w:val="xl75"/>
    <w:basedOn w:val="Normal"/>
    <w:rsid w:val="00DD7D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customStyle="1" w:styleId="xl76">
    <w:name w:val="xl76"/>
    <w:basedOn w:val="Normal"/>
    <w:rsid w:val="00DD7D32"/>
    <w:pPr>
      <w:spacing w:before="100" w:beforeAutospacing="1" w:after="100" w:afterAutospacing="1" w:line="240" w:lineRule="auto"/>
      <w:textAlignment w:val="center"/>
    </w:pPr>
    <w:rPr>
      <w:rFonts w:ascii="&quot;Times New Roman&quot;" w:eastAsia="Times New Roman" w:hAnsi="&quot;Times New Roman&quot;" w:cs="Times New Roman"/>
      <w:color w:val="000000"/>
      <w:kern w:val="0"/>
      <w14:ligatures w14:val="none"/>
    </w:rPr>
  </w:style>
  <w:style w:type="paragraph" w:customStyle="1" w:styleId="xl77">
    <w:name w:val="xl77"/>
    <w:basedOn w:val="Normal"/>
    <w:rsid w:val="00DD7D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customStyle="1" w:styleId="xl78">
    <w:name w:val="xl78"/>
    <w:basedOn w:val="Normal"/>
    <w:rsid w:val="00DD7D32"/>
    <w:pP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customStyle="1" w:styleId="xl79">
    <w:name w:val="xl79"/>
    <w:basedOn w:val="Normal"/>
    <w:rsid w:val="00DD7D32"/>
    <w:pPr>
      <w:shd w:val="clear" w:color="FFFFFF"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0">
    <w:name w:val="xl80"/>
    <w:basedOn w:val="Normal"/>
    <w:rsid w:val="00DD7D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14:ligatures w14:val="none"/>
    </w:rPr>
  </w:style>
  <w:style w:type="character" w:styleId="UnresolvedMention">
    <w:name w:val="Unresolved Mention"/>
    <w:basedOn w:val="DefaultParagraphFont"/>
    <w:uiPriority w:val="99"/>
    <w:semiHidden/>
    <w:unhideWhenUsed/>
    <w:rsid w:val="00DD7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336980">
      <w:bodyDiv w:val="1"/>
      <w:marLeft w:val="0"/>
      <w:marRight w:val="0"/>
      <w:marTop w:val="0"/>
      <w:marBottom w:val="0"/>
      <w:divBdr>
        <w:top w:val="none" w:sz="0" w:space="0" w:color="auto"/>
        <w:left w:val="none" w:sz="0" w:space="0" w:color="auto"/>
        <w:bottom w:val="none" w:sz="0" w:space="0" w:color="auto"/>
        <w:right w:val="none" w:sz="0" w:space="0" w:color="auto"/>
      </w:divBdr>
    </w:div>
    <w:div w:id="321201173">
      <w:bodyDiv w:val="1"/>
      <w:marLeft w:val="0"/>
      <w:marRight w:val="0"/>
      <w:marTop w:val="0"/>
      <w:marBottom w:val="0"/>
      <w:divBdr>
        <w:top w:val="none" w:sz="0" w:space="0" w:color="auto"/>
        <w:left w:val="none" w:sz="0" w:space="0" w:color="auto"/>
        <w:bottom w:val="none" w:sz="0" w:space="0" w:color="auto"/>
        <w:right w:val="none" w:sz="0" w:space="0" w:color="auto"/>
      </w:divBdr>
    </w:div>
    <w:div w:id="416943662">
      <w:bodyDiv w:val="1"/>
      <w:marLeft w:val="0"/>
      <w:marRight w:val="0"/>
      <w:marTop w:val="0"/>
      <w:marBottom w:val="0"/>
      <w:divBdr>
        <w:top w:val="none" w:sz="0" w:space="0" w:color="auto"/>
        <w:left w:val="none" w:sz="0" w:space="0" w:color="auto"/>
        <w:bottom w:val="none" w:sz="0" w:space="0" w:color="auto"/>
        <w:right w:val="none" w:sz="0" w:space="0" w:color="auto"/>
      </w:divBdr>
    </w:div>
    <w:div w:id="464472455">
      <w:bodyDiv w:val="1"/>
      <w:marLeft w:val="0"/>
      <w:marRight w:val="0"/>
      <w:marTop w:val="0"/>
      <w:marBottom w:val="0"/>
      <w:divBdr>
        <w:top w:val="none" w:sz="0" w:space="0" w:color="auto"/>
        <w:left w:val="none" w:sz="0" w:space="0" w:color="auto"/>
        <w:bottom w:val="none" w:sz="0" w:space="0" w:color="auto"/>
        <w:right w:val="none" w:sz="0" w:space="0" w:color="auto"/>
      </w:divBdr>
    </w:div>
    <w:div w:id="621419171">
      <w:bodyDiv w:val="1"/>
      <w:marLeft w:val="0"/>
      <w:marRight w:val="0"/>
      <w:marTop w:val="0"/>
      <w:marBottom w:val="0"/>
      <w:divBdr>
        <w:top w:val="none" w:sz="0" w:space="0" w:color="auto"/>
        <w:left w:val="none" w:sz="0" w:space="0" w:color="auto"/>
        <w:bottom w:val="none" w:sz="0" w:space="0" w:color="auto"/>
        <w:right w:val="none" w:sz="0" w:space="0" w:color="auto"/>
      </w:divBdr>
    </w:div>
    <w:div w:id="1634674873">
      <w:bodyDiv w:val="1"/>
      <w:marLeft w:val="0"/>
      <w:marRight w:val="0"/>
      <w:marTop w:val="0"/>
      <w:marBottom w:val="0"/>
      <w:divBdr>
        <w:top w:val="none" w:sz="0" w:space="0" w:color="auto"/>
        <w:left w:val="none" w:sz="0" w:space="0" w:color="auto"/>
        <w:bottom w:val="none" w:sz="0" w:space="0" w:color="auto"/>
        <w:right w:val="none" w:sz="0" w:space="0" w:color="auto"/>
      </w:divBdr>
    </w:div>
    <w:div w:id="193470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troungdung@mof.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CF83A-2AF5-6642-8740-B0C3D9CB5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30</Pages>
  <Words>16024</Words>
  <Characters>91342</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 Duc Dinh</dc:creator>
  <cp:keywords/>
  <dc:description/>
  <cp:lastModifiedBy>Quy Duc Dinh</cp:lastModifiedBy>
  <cp:revision>20</cp:revision>
  <cp:lastPrinted>2025-06-03T07:27:00Z</cp:lastPrinted>
  <dcterms:created xsi:type="dcterms:W3CDTF">2025-07-10T04:00:00Z</dcterms:created>
  <dcterms:modified xsi:type="dcterms:W3CDTF">2025-07-10T04:45:00Z</dcterms:modified>
</cp:coreProperties>
</file>